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3</w:t>
      </w:r>
      <w:r>
        <w:rPr>
          <w:rFonts w:hint="eastAsia" w:eastAsia="方正小标宋简体"/>
          <w:sz w:val="44"/>
          <w:szCs w:val="44"/>
        </w:rPr>
        <w:t>年乐至县项目支出绩效自评报告范本</w:t>
      </w:r>
    </w:p>
    <w:p>
      <w:pPr>
        <w:spacing w:line="580" w:lineRule="exact"/>
        <w:jc w:val="center"/>
        <w:rPr>
          <w:rFonts w:eastAsia="方正小标宋简体"/>
          <w:sz w:val="44"/>
          <w:szCs w:val="44"/>
        </w:rPr>
      </w:pPr>
      <w:r>
        <w:rPr>
          <w:rFonts w:hint="eastAsia" w:eastAsia="方正小标宋简体"/>
          <w:sz w:val="44"/>
          <w:szCs w:val="44"/>
        </w:rPr>
        <w:t>（</w:t>
      </w:r>
      <w:r>
        <w:rPr>
          <w:rFonts w:hint="eastAsia" w:eastAsia="方正小标宋简体"/>
          <w:sz w:val="44"/>
          <w:szCs w:val="44"/>
          <w:lang w:val="en-US" w:eastAsia="zh-CN"/>
        </w:rPr>
        <w:t>南塔街道禁毒宣传教育基地整改项目</w:t>
      </w:r>
      <w:r>
        <w:rPr>
          <w:rFonts w:hint="eastAsia" w:eastAsia="方正小标宋简体"/>
          <w:sz w:val="44"/>
          <w:szCs w:val="44"/>
        </w:rPr>
        <w:t>）</w:t>
      </w:r>
    </w:p>
    <w:p>
      <w:pPr>
        <w:spacing w:line="580" w:lineRule="exact"/>
        <w:jc w:val="center"/>
        <w:rPr>
          <w:rFonts w:eastAsia="方正黑体简体"/>
          <w:sz w:val="32"/>
          <w:szCs w:val="32"/>
        </w:rPr>
      </w:pP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0" w:firstLineChars="200"/>
        <w:rPr>
          <w:rFonts w:hint="eastAsia" w:eastAsia="方正仿宋简体"/>
          <w:sz w:val="32"/>
          <w:szCs w:val="32"/>
          <w:lang w:val="en-US" w:eastAsia="zh-CN"/>
        </w:rPr>
      </w:pPr>
      <w:r>
        <w:rPr>
          <w:rFonts w:hint="eastAsia" w:eastAsia="方正仿宋简体"/>
          <w:sz w:val="32"/>
          <w:szCs w:val="32"/>
          <w:lang w:val="en-US" w:eastAsia="zh-CN"/>
        </w:rPr>
        <w:t>为充分发挥禁毒教育基地宣传教育作用，就“禁毒方舟”教育宣传基地的相应展示设备、基础设施、氛围营造、周边环境等相关问题进行提质整改。</w:t>
      </w:r>
    </w:p>
    <w:p>
      <w:pPr>
        <w:spacing w:line="580" w:lineRule="exact"/>
        <w:ind w:firstLine="640" w:firstLineChars="200"/>
        <w:rPr>
          <w:rFonts w:hint="default" w:eastAsia="方正仿宋简体"/>
          <w:sz w:val="32"/>
          <w:szCs w:val="32"/>
          <w:lang w:val="en-US" w:eastAsia="zh-CN"/>
        </w:rPr>
      </w:pPr>
      <w:r>
        <w:rPr>
          <w:rFonts w:hint="eastAsia" w:eastAsia="方正仿宋简体"/>
          <w:sz w:val="32"/>
          <w:szCs w:val="32"/>
          <w:lang w:val="en-US" w:eastAsia="zh-CN"/>
        </w:rPr>
        <w:t>通过县委政法委关于禁毒基础设施维修维护及禁毒宣传工作会议议定资金，用于支付南塔街道“禁毒方舟”教育宣传基地在提质整改过程中产生的相关费用。项目资金274843.45元，到位率100%；资金执行274843.45元，执行率100%。在项目实施建设过程中， 项目实施监督，积极争取财政资金，落实项目监管责任，按时完成项目。目前该项目已全部完工，“禁毒方舟”教育宣传基地已正常投入使用。</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spacing w:line="580" w:lineRule="exact"/>
        <w:ind w:firstLine="640" w:firstLineChars="200"/>
        <w:rPr>
          <w:rFonts w:hint="default" w:eastAsia="方正仿宋简体"/>
          <w:sz w:val="32"/>
          <w:szCs w:val="32"/>
          <w:lang w:val="en-US" w:eastAsia="zh-CN"/>
        </w:rPr>
      </w:pPr>
      <w:r>
        <w:rPr>
          <w:rFonts w:hint="eastAsia" w:eastAsia="方正仿宋简体"/>
          <w:sz w:val="32"/>
          <w:szCs w:val="32"/>
          <w:lang w:val="en-US" w:eastAsia="zh-CN"/>
        </w:rPr>
        <w:t>1.产出数量指标设置：制作门窗10个，进行墙体粉刷及喷漆300平方米，进行房屋漏水防治225平方米，制作宣传广告500平方米。</w:t>
      </w:r>
    </w:p>
    <w:p>
      <w:pPr>
        <w:pStyle w:val="2"/>
        <w:ind w:left="0" w:leftChars="0" w:firstLine="640" w:firstLineChars="200"/>
        <w:rPr>
          <w:rFonts w:hint="default" w:eastAsia="方正仿宋简体"/>
          <w:sz w:val="32"/>
          <w:szCs w:val="32"/>
          <w:lang w:val="en-US" w:eastAsia="zh-CN"/>
        </w:rPr>
      </w:pPr>
      <w:r>
        <w:rPr>
          <w:rFonts w:hint="eastAsia" w:eastAsia="方正仿宋简体"/>
          <w:sz w:val="32"/>
          <w:szCs w:val="32"/>
          <w:lang w:val="en-US" w:eastAsia="zh-CN"/>
        </w:rPr>
        <w:t>2.产出质量指标设置：项目验收合格率≥100%。</w:t>
      </w:r>
    </w:p>
    <w:p>
      <w:pPr>
        <w:ind w:firstLine="640" w:firstLineChars="200"/>
        <w:rPr>
          <w:rFonts w:hint="default" w:eastAsia="方正仿宋简体"/>
          <w:sz w:val="32"/>
          <w:szCs w:val="32"/>
          <w:lang w:val="en-US" w:eastAsia="zh-CN"/>
        </w:rPr>
      </w:pPr>
      <w:r>
        <w:rPr>
          <w:rFonts w:hint="eastAsia" w:eastAsia="方正仿宋简体"/>
          <w:sz w:val="32"/>
          <w:szCs w:val="32"/>
          <w:lang w:val="en-US" w:eastAsia="zh-CN"/>
        </w:rPr>
        <w:t>3.产出时效指标设置：项目建设工期40天，完成及时率≥100%。</w:t>
      </w:r>
    </w:p>
    <w:p>
      <w:pPr>
        <w:ind w:firstLine="640" w:firstLineChars="200"/>
        <w:rPr>
          <w:rFonts w:hint="default" w:eastAsia="方正仿宋简体"/>
          <w:sz w:val="32"/>
          <w:szCs w:val="32"/>
          <w:lang w:val="en-US" w:eastAsia="zh-CN"/>
        </w:rPr>
      </w:pPr>
      <w:r>
        <w:rPr>
          <w:rFonts w:hint="eastAsia" w:eastAsia="方正仿宋简体"/>
          <w:sz w:val="32"/>
          <w:szCs w:val="32"/>
          <w:lang w:val="en-US" w:eastAsia="zh-CN"/>
        </w:rPr>
        <w:t>4.产出成本指标设置：项目成本概算≤27.5万元。</w:t>
      </w:r>
    </w:p>
    <w:p>
      <w:pPr>
        <w:ind w:firstLine="640" w:firstLineChars="200"/>
        <w:rPr>
          <w:rFonts w:hint="default" w:eastAsia="方正仿宋简体"/>
          <w:sz w:val="32"/>
          <w:szCs w:val="32"/>
          <w:lang w:val="en-US" w:eastAsia="zh-CN"/>
        </w:rPr>
      </w:pPr>
      <w:r>
        <w:rPr>
          <w:rFonts w:hint="eastAsia" w:eastAsia="方正仿宋简体"/>
          <w:sz w:val="32"/>
          <w:szCs w:val="32"/>
          <w:lang w:val="en-US" w:eastAsia="zh-CN"/>
        </w:rPr>
        <w:t>5.产出社会效益指标设置：为辖区居民提供文化教育场所≥300平方米。</w:t>
      </w:r>
    </w:p>
    <w:p>
      <w:pPr>
        <w:ind w:firstLine="640" w:firstLineChars="200"/>
        <w:rPr>
          <w:rFonts w:hint="default" w:eastAsia="方正仿宋简体"/>
          <w:sz w:val="32"/>
          <w:szCs w:val="32"/>
          <w:lang w:val="en-US" w:eastAsia="zh-CN"/>
        </w:rPr>
      </w:pPr>
      <w:r>
        <w:rPr>
          <w:rFonts w:hint="eastAsia" w:eastAsia="方正仿宋简体"/>
          <w:sz w:val="32"/>
          <w:szCs w:val="32"/>
          <w:lang w:val="en-US" w:eastAsia="zh-CN"/>
        </w:rPr>
        <w:t>6.产出可持续影响指标设置：项目综合使用年限≥15年。</w:t>
      </w:r>
    </w:p>
    <w:p>
      <w:pPr>
        <w:ind w:firstLine="640" w:firstLineChars="200"/>
        <w:rPr>
          <w:rFonts w:hint="default"/>
          <w:lang w:val="en-US" w:eastAsia="zh-CN"/>
        </w:rPr>
      </w:pPr>
      <w:r>
        <w:rPr>
          <w:rFonts w:hint="eastAsia" w:eastAsia="方正仿宋简体"/>
          <w:sz w:val="32"/>
          <w:szCs w:val="32"/>
          <w:lang w:val="en-US" w:eastAsia="zh-CN"/>
        </w:rPr>
        <w:t>7.满意度指标设置：来访居民群众满意度≥90%。</w:t>
      </w: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643" w:firstLineChars="200"/>
        <w:rPr>
          <w:rFonts w:hint="eastAsia" w:eastAsia="方正楷体简体"/>
          <w:b/>
          <w:sz w:val="32"/>
          <w:szCs w:val="32"/>
          <w:lang w:val="en-US" w:eastAsia="zh-CN"/>
        </w:rPr>
      </w:pPr>
      <w:r>
        <w:rPr>
          <w:rFonts w:hint="eastAsia" w:eastAsia="方正楷体简体"/>
          <w:b/>
          <w:sz w:val="32"/>
          <w:szCs w:val="32"/>
        </w:rPr>
        <w:t>（一）</w:t>
      </w:r>
      <w:r>
        <w:rPr>
          <w:rFonts w:hint="eastAsia" w:eastAsia="方正楷体简体"/>
          <w:b/>
          <w:sz w:val="32"/>
          <w:szCs w:val="32"/>
          <w:lang w:val="en-US" w:eastAsia="zh-CN"/>
        </w:rPr>
        <w:t>成立南塔街道“禁毒方舟”教育宣传基地项目绩效</w:t>
      </w:r>
      <w:r>
        <w:rPr>
          <w:rFonts w:hint="eastAsia" w:eastAsia="方正楷体简体"/>
          <w:b/>
          <w:sz w:val="32"/>
          <w:szCs w:val="32"/>
        </w:rPr>
        <w:t>自评工作</w:t>
      </w:r>
      <w:r>
        <w:rPr>
          <w:rFonts w:hint="eastAsia" w:eastAsia="方正楷体简体"/>
          <w:b/>
          <w:sz w:val="32"/>
          <w:szCs w:val="32"/>
          <w:lang w:val="en-US" w:eastAsia="zh-CN"/>
        </w:rPr>
        <w:t>小组。</w:t>
      </w:r>
    </w:p>
    <w:p>
      <w:pPr>
        <w:pStyle w:val="2"/>
        <w:ind w:left="0" w:leftChars="0" w:firstLine="640" w:firstLineChars="200"/>
        <w:rPr>
          <w:rFonts w:hint="eastAsia" w:ascii="Times New Roman" w:hAnsi="Times New Roman" w:eastAsia="方正仿宋简体" w:cs="Times New Roman"/>
          <w:kern w:val="2"/>
          <w:sz w:val="32"/>
          <w:szCs w:val="32"/>
          <w:lang w:val="en-US" w:eastAsia="zh-CN" w:bidi="ar-SA"/>
        </w:rPr>
      </w:pPr>
      <w:r>
        <w:rPr>
          <w:rFonts w:hint="eastAsia" w:ascii="Times New Roman" w:hAnsi="Times New Roman" w:eastAsia="方正仿宋简体" w:cs="Times New Roman"/>
          <w:kern w:val="2"/>
          <w:sz w:val="32"/>
          <w:szCs w:val="32"/>
          <w:lang w:val="en-US" w:eastAsia="zh-CN" w:bidi="ar-SA"/>
        </w:rPr>
        <w:t>组  长：  田洪兵  南塔街道党工委书记</w:t>
      </w:r>
    </w:p>
    <w:p>
      <w:pPr>
        <w:ind w:firstLine="640" w:firstLineChars="200"/>
        <w:rPr>
          <w:rFonts w:hint="eastAsia" w:eastAsia="方正仿宋简体" w:cs="Times New Roman"/>
          <w:kern w:val="2"/>
          <w:sz w:val="32"/>
          <w:szCs w:val="32"/>
          <w:lang w:val="en-US" w:eastAsia="zh-CN" w:bidi="ar-SA"/>
        </w:rPr>
      </w:pPr>
      <w:r>
        <w:rPr>
          <w:rFonts w:hint="eastAsia" w:ascii="Times New Roman" w:hAnsi="Times New Roman" w:eastAsia="方正仿宋简体" w:cs="Times New Roman"/>
          <w:kern w:val="2"/>
          <w:sz w:val="32"/>
          <w:szCs w:val="32"/>
          <w:lang w:val="en-US" w:eastAsia="zh-CN" w:bidi="ar-SA"/>
        </w:rPr>
        <w:t>副组长：</w:t>
      </w:r>
      <w:r>
        <w:rPr>
          <w:rFonts w:hint="eastAsia" w:eastAsia="方正仿宋简体" w:cs="Times New Roman"/>
          <w:kern w:val="2"/>
          <w:sz w:val="32"/>
          <w:szCs w:val="32"/>
          <w:lang w:val="en-US" w:eastAsia="zh-CN" w:bidi="ar-SA"/>
        </w:rPr>
        <w:t xml:space="preserve">  宋权峰  南塔街道党工委副书记、办事处主任</w:t>
      </w:r>
    </w:p>
    <w:p>
      <w:pPr>
        <w:ind w:firstLine="2240" w:firstLineChars="700"/>
        <w:rPr>
          <w:rFonts w:hint="eastAsia" w:ascii="Times New Roman" w:hAnsi="Times New Roman" w:eastAsia="方正仿宋简体" w:cs="Times New Roman"/>
          <w:kern w:val="2"/>
          <w:sz w:val="32"/>
          <w:szCs w:val="32"/>
          <w:lang w:val="en-US" w:eastAsia="zh-CN" w:bidi="ar-SA"/>
        </w:rPr>
      </w:pPr>
      <w:r>
        <w:rPr>
          <w:rFonts w:hint="eastAsia" w:ascii="Times New Roman" w:hAnsi="Times New Roman" w:eastAsia="方正仿宋简体" w:cs="Times New Roman"/>
          <w:kern w:val="2"/>
          <w:sz w:val="32"/>
          <w:szCs w:val="32"/>
          <w:lang w:val="en-US" w:eastAsia="zh-CN" w:bidi="ar-SA"/>
        </w:rPr>
        <w:t>彭俊霖  南塔街道党工委副书记</w:t>
      </w:r>
    </w:p>
    <w:p>
      <w:pPr>
        <w:ind w:firstLine="2240" w:firstLineChars="700"/>
        <w:rPr>
          <w:rFonts w:hint="eastAsia" w:ascii="Times New Roman" w:hAnsi="Times New Roman" w:eastAsia="方正仿宋简体" w:cs="Times New Roman"/>
          <w:kern w:val="2"/>
          <w:sz w:val="32"/>
          <w:szCs w:val="32"/>
          <w:lang w:val="en-US" w:eastAsia="zh-CN" w:bidi="ar-SA"/>
        </w:rPr>
      </w:pPr>
      <w:r>
        <w:rPr>
          <w:rFonts w:hint="eastAsia" w:ascii="Times New Roman" w:hAnsi="Times New Roman" w:eastAsia="方正仿宋简体" w:cs="Times New Roman"/>
          <w:kern w:val="2"/>
          <w:sz w:val="32"/>
          <w:szCs w:val="32"/>
          <w:lang w:val="en-US" w:eastAsia="zh-CN" w:bidi="ar-SA"/>
        </w:rPr>
        <w:t>邓有根  南塔街道纪工委书记</w:t>
      </w:r>
    </w:p>
    <w:p>
      <w:pPr>
        <w:ind w:firstLine="640" w:firstLineChars="200"/>
        <w:rPr>
          <w:rFonts w:hint="eastAsia" w:eastAsia="方正仿宋简体" w:cs="Times New Roman"/>
          <w:kern w:val="2"/>
          <w:sz w:val="32"/>
          <w:szCs w:val="32"/>
          <w:lang w:val="en-US" w:eastAsia="zh-CN" w:bidi="ar-SA"/>
        </w:rPr>
      </w:pPr>
      <w:r>
        <w:rPr>
          <w:rFonts w:hint="eastAsia" w:ascii="Times New Roman" w:hAnsi="Times New Roman" w:eastAsia="方正仿宋简体" w:cs="Times New Roman"/>
          <w:kern w:val="2"/>
          <w:sz w:val="32"/>
          <w:szCs w:val="32"/>
          <w:lang w:val="en-US" w:eastAsia="zh-CN" w:bidi="ar-SA"/>
        </w:rPr>
        <w:t xml:space="preserve">成  员：  </w:t>
      </w:r>
      <w:r>
        <w:rPr>
          <w:rFonts w:hint="eastAsia" w:eastAsia="方正仿宋简体" w:cs="Times New Roman"/>
          <w:kern w:val="2"/>
          <w:sz w:val="32"/>
          <w:szCs w:val="32"/>
          <w:lang w:val="en-US" w:eastAsia="zh-CN" w:bidi="ar-SA"/>
        </w:rPr>
        <w:t>张景毅  南塔街道财政所所长</w:t>
      </w:r>
    </w:p>
    <w:p>
      <w:pPr>
        <w:ind w:firstLine="2240" w:firstLineChars="700"/>
        <w:rPr>
          <w:rFonts w:hint="eastAsia" w:eastAsia="方正仿宋简体" w:cs="Times New Roman"/>
          <w:kern w:val="2"/>
          <w:sz w:val="32"/>
          <w:szCs w:val="32"/>
          <w:lang w:val="en-US" w:eastAsia="zh-CN" w:bidi="ar-SA"/>
        </w:rPr>
      </w:pPr>
      <w:r>
        <w:rPr>
          <w:rFonts w:hint="eastAsia" w:eastAsia="方正仿宋简体" w:cs="Times New Roman"/>
          <w:kern w:val="2"/>
          <w:sz w:val="32"/>
          <w:szCs w:val="32"/>
          <w:lang w:val="en-US" w:eastAsia="zh-CN" w:bidi="ar-SA"/>
        </w:rPr>
        <w:t>魏  宽  南塔街道基层治理办公室主任</w:t>
      </w:r>
    </w:p>
    <w:p>
      <w:pPr>
        <w:ind w:firstLine="2240" w:firstLineChars="700"/>
        <w:rPr>
          <w:rFonts w:hint="eastAsia" w:eastAsia="方正仿宋简体" w:cs="Times New Roman"/>
          <w:kern w:val="2"/>
          <w:sz w:val="32"/>
          <w:szCs w:val="32"/>
          <w:lang w:val="en-US" w:eastAsia="zh-CN" w:bidi="ar-SA"/>
        </w:rPr>
      </w:pPr>
      <w:r>
        <w:rPr>
          <w:rFonts w:hint="eastAsia" w:eastAsia="方正仿宋简体" w:cs="Times New Roman"/>
          <w:kern w:val="2"/>
          <w:sz w:val="32"/>
          <w:szCs w:val="32"/>
          <w:lang w:val="en-US" w:eastAsia="zh-CN" w:bidi="ar-SA"/>
        </w:rPr>
        <w:t>蒋  雷  南塔街道综合执行执法办公室主任</w:t>
      </w:r>
    </w:p>
    <w:p>
      <w:pPr>
        <w:ind w:firstLine="2240" w:firstLineChars="700"/>
        <w:rPr>
          <w:rFonts w:hint="default"/>
          <w:lang w:val="en-US" w:eastAsia="zh-CN"/>
        </w:rPr>
      </w:pPr>
      <w:r>
        <w:rPr>
          <w:rFonts w:hint="eastAsia" w:eastAsia="方正仿宋简体" w:cs="Times New Roman"/>
          <w:kern w:val="2"/>
          <w:sz w:val="32"/>
          <w:szCs w:val="32"/>
          <w:lang w:val="en-US" w:eastAsia="zh-CN" w:bidi="ar-SA"/>
        </w:rPr>
        <w:t>王亚俊  南塔街道纪工委副书记</w:t>
      </w:r>
    </w:p>
    <w:p>
      <w:pPr>
        <w:spacing w:line="580" w:lineRule="exact"/>
        <w:ind w:firstLine="643" w:firstLineChars="200"/>
        <w:rPr>
          <w:rFonts w:eastAsia="方正楷体简体"/>
          <w:b/>
          <w:sz w:val="32"/>
          <w:szCs w:val="32"/>
        </w:rPr>
      </w:pPr>
      <w:r>
        <w:rPr>
          <w:rFonts w:hint="eastAsia" w:eastAsia="方正楷体简体"/>
          <w:b/>
          <w:sz w:val="32"/>
          <w:szCs w:val="32"/>
        </w:rPr>
        <w:t>（二）自评方式、方法、重点等</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spacing w:line="580" w:lineRule="exact"/>
        <w:ind w:firstLine="640" w:firstLineChars="200"/>
        <w:rPr>
          <w:rFonts w:hint="eastAsia" w:eastAsia="方正仿宋简体"/>
          <w:sz w:val="32"/>
          <w:szCs w:val="32"/>
          <w:lang w:val="en-US" w:eastAsia="zh-CN"/>
        </w:rPr>
      </w:pPr>
      <w:r>
        <w:rPr>
          <w:rFonts w:hint="eastAsia" w:eastAsia="方正仿宋简体"/>
          <w:sz w:val="32"/>
          <w:szCs w:val="32"/>
          <w:lang w:val="en-US" w:eastAsia="zh-CN"/>
        </w:rPr>
        <w:t>本项目自评得分100分，达到预期绩效目标。</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spacing w:line="580" w:lineRule="exact"/>
        <w:ind w:firstLine="640" w:firstLineChars="200"/>
        <w:rPr>
          <w:rFonts w:hint="eastAsia" w:eastAsia="方正仿宋简体"/>
          <w:sz w:val="32"/>
          <w:szCs w:val="32"/>
          <w:lang w:val="en-US" w:eastAsia="zh-CN"/>
        </w:rPr>
      </w:pPr>
      <w:r>
        <w:rPr>
          <w:rFonts w:hint="eastAsia" w:eastAsia="方正仿宋简体"/>
          <w:sz w:val="32"/>
          <w:szCs w:val="32"/>
          <w:lang w:val="en-US" w:eastAsia="zh-CN"/>
        </w:rPr>
        <w:t>根据产出、效益、满意度绩效指标值，对照实际使用情况，已完成：</w:t>
      </w:r>
    </w:p>
    <w:p>
      <w:pPr>
        <w:spacing w:line="580" w:lineRule="exact"/>
        <w:ind w:firstLine="640" w:firstLineChars="200"/>
        <w:rPr>
          <w:rFonts w:hint="default" w:eastAsia="方正仿宋简体"/>
          <w:sz w:val="32"/>
          <w:szCs w:val="32"/>
          <w:lang w:val="en-US" w:eastAsia="zh-CN"/>
        </w:rPr>
      </w:pPr>
      <w:r>
        <w:rPr>
          <w:rFonts w:hint="eastAsia" w:eastAsia="方正仿宋简体"/>
          <w:sz w:val="32"/>
          <w:szCs w:val="32"/>
          <w:lang w:val="en-US" w:eastAsia="zh-CN"/>
        </w:rPr>
        <w:t>数量指标完成情况：制作门窗10个，进行墙体粉刷及喷漆300平方米，进行房屋漏水防治225平方米，制作宣传广告500平方米。</w:t>
      </w:r>
    </w:p>
    <w:p>
      <w:pPr>
        <w:pStyle w:val="2"/>
        <w:ind w:left="0" w:leftChars="0" w:firstLine="640" w:firstLineChars="200"/>
        <w:rPr>
          <w:rFonts w:hint="default" w:eastAsia="方正仿宋简体"/>
          <w:sz w:val="32"/>
          <w:szCs w:val="32"/>
          <w:lang w:val="en-US" w:eastAsia="zh-CN"/>
        </w:rPr>
      </w:pPr>
      <w:r>
        <w:rPr>
          <w:rFonts w:hint="eastAsia" w:eastAsia="方正仿宋简体"/>
          <w:sz w:val="32"/>
          <w:szCs w:val="32"/>
          <w:lang w:val="en-US" w:eastAsia="zh-CN"/>
        </w:rPr>
        <w:t>质量指标完成情况：建成后基地正式投入使用，承接禁毒教育宣传以及交流学习等相关活动，项目实施过程完整，项目验收合格率100%。</w:t>
      </w:r>
    </w:p>
    <w:p>
      <w:pPr>
        <w:ind w:firstLine="640" w:firstLineChars="200"/>
        <w:rPr>
          <w:rFonts w:hint="default" w:eastAsia="方正仿宋简体"/>
          <w:sz w:val="32"/>
          <w:szCs w:val="32"/>
          <w:lang w:val="en-US" w:eastAsia="zh-CN"/>
        </w:rPr>
      </w:pPr>
      <w:r>
        <w:rPr>
          <w:rFonts w:hint="eastAsia" w:eastAsia="方正仿宋简体"/>
          <w:sz w:val="32"/>
          <w:szCs w:val="32"/>
          <w:lang w:val="en-US" w:eastAsia="zh-CN"/>
        </w:rPr>
        <w:t>时效指标完成情况：于2022年11月底前完成全部建设工作，项目完成及时率100%。</w:t>
      </w:r>
    </w:p>
    <w:p>
      <w:pPr>
        <w:ind w:firstLine="640" w:firstLineChars="200"/>
        <w:rPr>
          <w:rFonts w:hint="default" w:eastAsia="方正仿宋简体"/>
          <w:sz w:val="32"/>
          <w:szCs w:val="32"/>
          <w:lang w:val="en-US" w:eastAsia="zh-CN"/>
        </w:rPr>
      </w:pPr>
      <w:r>
        <w:rPr>
          <w:rFonts w:hint="eastAsia" w:eastAsia="方正仿宋简体"/>
          <w:sz w:val="32"/>
          <w:szCs w:val="32"/>
          <w:lang w:val="en-US" w:eastAsia="zh-CN"/>
        </w:rPr>
        <w:t>成本指标完成情况：项目总花费为274843.45元，资金执行274843.45元，执行率100%，无拖欠和未支付款项。</w:t>
      </w:r>
    </w:p>
    <w:p>
      <w:pPr>
        <w:ind w:firstLine="640" w:firstLineChars="200"/>
        <w:rPr>
          <w:rFonts w:hint="default" w:eastAsia="方正仿宋简体"/>
          <w:sz w:val="32"/>
          <w:szCs w:val="32"/>
          <w:lang w:val="en-US" w:eastAsia="zh-CN"/>
        </w:rPr>
      </w:pPr>
      <w:r>
        <w:rPr>
          <w:rFonts w:hint="eastAsia" w:eastAsia="方正仿宋简体"/>
          <w:sz w:val="32"/>
          <w:szCs w:val="32"/>
          <w:lang w:val="en-US" w:eastAsia="zh-CN"/>
        </w:rPr>
        <w:t>社会效益完成情况：根据活动开展以来居民反馈，为辖区及周边居民提供文化教育场所约300平方米，切实提升了禁毒知识知晓率，营造了良好禁毒氛围。</w:t>
      </w:r>
    </w:p>
    <w:p>
      <w:pPr>
        <w:ind w:firstLine="640" w:firstLineChars="200"/>
        <w:rPr>
          <w:rFonts w:hint="default" w:eastAsia="方正仿宋简体"/>
          <w:sz w:val="32"/>
          <w:szCs w:val="32"/>
          <w:lang w:val="en-US" w:eastAsia="zh-CN"/>
        </w:rPr>
      </w:pPr>
      <w:r>
        <w:rPr>
          <w:rFonts w:hint="eastAsia" w:eastAsia="方正仿宋简体"/>
          <w:sz w:val="32"/>
          <w:szCs w:val="32"/>
          <w:lang w:val="en-US" w:eastAsia="zh-CN"/>
        </w:rPr>
        <w:t>可持续影响指标完成情况：预计项目综合使用年限达到15年以上。</w:t>
      </w:r>
    </w:p>
    <w:p>
      <w:pPr>
        <w:ind w:firstLine="640" w:firstLineChars="200"/>
        <w:rPr>
          <w:rFonts w:hint="default" w:eastAsia="方正仿宋简体"/>
          <w:sz w:val="32"/>
          <w:szCs w:val="32"/>
          <w:lang w:val="en-US" w:eastAsia="zh-CN"/>
        </w:rPr>
      </w:pPr>
      <w:r>
        <w:rPr>
          <w:rFonts w:hint="eastAsia" w:eastAsia="方正仿宋简体"/>
          <w:sz w:val="32"/>
          <w:szCs w:val="32"/>
          <w:lang w:val="en-US" w:eastAsia="zh-CN"/>
        </w:rPr>
        <w:t>满意度指标完成情况：来访居民对南塔街道开展相关宣传教育活动反响较好，有效提升禁毒防毒意识，群众满意度≥90%。</w:t>
      </w:r>
    </w:p>
    <w:p>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pPr>
        <w:spacing w:line="580" w:lineRule="exact"/>
        <w:ind w:firstLine="640" w:firstLineChars="200"/>
        <w:rPr>
          <w:rFonts w:hint="eastAsia" w:eastAsia="方正仿宋简体"/>
          <w:sz w:val="32"/>
          <w:szCs w:val="32"/>
          <w:lang w:val="en-US" w:eastAsia="zh-CN"/>
        </w:rPr>
      </w:pPr>
      <w:r>
        <w:rPr>
          <w:rFonts w:hint="eastAsia" w:eastAsia="方正仿宋简体"/>
          <w:sz w:val="32"/>
          <w:szCs w:val="32"/>
          <w:lang w:val="en-US" w:eastAsia="zh-CN"/>
        </w:rPr>
        <w:t>当前南塔街道辖区内仍有部分群众对禁毒相关知识和警惕性意识不足，下一步街道将持续以“禁毒方舟”教育宣传基地为平台，多形式、全方位开展禁毒防毒相关活动，切实营造打击毒品犯罪、禁毒战争人人参与的良好氛围。</w:t>
      </w:r>
    </w:p>
    <w:p>
      <w:pPr>
        <w:pStyle w:val="2"/>
        <w:rPr>
          <w:rFonts w:hint="default"/>
          <w:lang w:val="en-US" w:eastAsia="zh-CN"/>
        </w:rPr>
      </w:pPr>
    </w:p>
    <w:p>
      <w:pPr>
        <w:spacing w:line="58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1.202</w:t>
      </w:r>
      <w:r>
        <w:rPr>
          <w:rFonts w:hint="eastAsia" w:eastAsia="方正仿宋简体"/>
          <w:sz w:val="32"/>
          <w:szCs w:val="32"/>
        </w:rPr>
        <w:t>2年度乐至县项目支出绩效自评计分表</w:t>
      </w:r>
    </w:p>
    <w:p>
      <w:pPr>
        <w:spacing w:line="580" w:lineRule="exact"/>
        <w:ind w:firstLine="1600" w:firstLineChars="500"/>
        <w:rPr>
          <w:rFonts w:eastAsia="方正仿宋简体"/>
          <w:sz w:val="32"/>
          <w:szCs w:val="32"/>
        </w:rPr>
      </w:pPr>
      <w:r>
        <w:rPr>
          <w:rFonts w:eastAsia="方正仿宋简体"/>
          <w:sz w:val="32"/>
          <w:szCs w:val="32"/>
        </w:rPr>
        <w:t>2.202</w:t>
      </w:r>
      <w:r>
        <w:rPr>
          <w:rFonts w:hint="eastAsia" w:eastAsia="方正仿宋简体"/>
          <w:sz w:val="32"/>
          <w:szCs w:val="32"/>
        </w:rPr>
        <w:t>2年度乐至县项目支出绩效目标完成情况表</w:t>
      </w: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jc w:val="left"/>
        <w:rPr>
          <w:rFonts w:ascii="宋体" w:hAnsi="宋体" w:eastAsia="方正小标宋简体"/>
          <w:bCs/>
          <w:kern w:val="0"/>
          <w:sz w:val="40"/>
          <w:szCs w:val="40"/>
        </w:rPr>
        <w:sectPr>
          <w:footerReference r:id="rId3" w:type="default"/>
          <w:pgSz w:w="11907" w:h="16840"/>
          <w:pgMar w:top="2098" w:right="1474" w:bottom="1928" w:left="1588" w:header="851" w:footer="992" w:gutter="0"/>
          <w:cols w:space="720" w:num="1"/>
          <w:docGrid w:type="lines" w:linePitch="312" w:charSpace="0"/>
        </w:sectPr>
      </w:pP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4-1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rPr>
        <w:t>2年度乐至县项目支出绩效自评计分表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eastAsia="方正楷体简体"/>
          <w:b/>
          <w:bCs/>
          <w:kern w:val="0"/>
          <w:sz w:val="32"/>
          <w:szCs w:val="32"/>
        </w:rPr>
        <w:t>XX</w:t>
      </w:r>
      <w:r>
        <w:rPr>
          <w:rFonts w:hint="eastAsia" w:eastAsia="方正楷体简体"/>
          <w:b/>
          <w:bCs/>
          <w:kern w:val="0"/>
          <w:sz w:val="32"/>
          <w:szCs w:val="32"/>
        </w:rPr>
        <w:t>项目）</w:t>
      </w:r>
    </w:p>
    <w:p>
      <w:pPr>
        <w:spacing w:line="620" w:lineRule="exact"/>
        <w:rPr>
          <w:sz w:val="24"/>
        </w:rPr>
      </w:pPr>
      <w:r>
        <w:rPr>
          <w:rFonts w:hint="eastAsia"/>
          <w:bCs/>
          <w:kern w:val="0"/>
          <w:sz w:val="24"/>
        </w:rPr>
        <w:t>预算单位名称：</w:t>
      </w:r>
      <w:r>
        <w:rPr>
          <w:bCs/>
          <w:kern w:val="0"/>
          <w:sz w:val="24"/>
        </w:rPr>
        <w:t xml:space="preserve">                 </w:t>
      </w:r>
      <w:r>
        <w:rPr>
          <w:rFonts w:hint="eastAsia"/>
          <w:bCs/>
          <w:kern w:val="0"/>
          <w:sz w:val="24"/>
        </w:rPr>
        <w:t>预算单位编码：</w:t>
      </w:r>
      <w:r>
        <w:rPr>
          <w:bCs/>
          <w:kern w:val="0"/>
          <w:sz w:val="24"/>
        </w:rPr>
        <w:t xml:space="preserve">                  </w:t>
      </w:r>
      <w:r>
        <w:rPr>
          <w:rFonts w:hint="eastAsia"/>
          <w:bCs/>
          <w:kern w:val="0"/>
          <w:sz w:val="24"/>
        </w:rPr>
        <w:t>自评等级：</w:t>
      </w:r>
    </w:p>
    <w:tbl>
      <w:tblPr>
        <w:tblStyle w:val="5"/>
        <w:tblW w:w="51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714"/>
        <w:gridCol w:w="702"/>
        <w:gridCol w:w="851"/>
        <w:gridCol w:w="1700"/>
        <w:gridCol w:w="3539"/>
        <w:gridCol w:w="707"/>
        <w:gridCol w:w="90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392"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85"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67"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3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942"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88"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49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392"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7</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2</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42"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942"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kern w:val="0"/>
                <w:szCs w:val="21"/>
              </w:rPr>
            </w:pPr>
            <w:r>
              <w:rPr>
                <w:rFonts w:hint="eastAsia"/>
                <w:kern w:val="0"/>
                <w:szCs w:val="21"/>
              </w:rPr>
              <w:t>　</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88"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10</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118"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88"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100</w:t>
            </w:r>
            <w:bookmarkStart w:id="0" w:name="_GoBack"/>
            <w:bookmarkEnd w:id="0"/>
          </w:p>
        </w:tc>
        <w:tc>
          <w:tcPr>
            <w:tcW w:w="493"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cols w:space="720"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4-2</w:t>
      </w:r>
    </w:p>
    <w:p>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rPr>
        <w:t>2年度乐至县项目支出绩效目标完成情况表</w:t>
      </w:r>
    </w:p>
    <w:p>
      <w:pPr>
        <w:pStyle w:val="3"/>
        <w:spacing w:line="240" w:lineRule="exact"/>
        <w:rPr>
          <w:rFonts w:ascii="宋体"/>
        </w:rPr>
      </w:pPr>
    </w:p>
    <w:tbl>
      <w:tblPr>
        <w:tblStyle w:val="5"/>
        <w:tblW w:w="903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87"/>
        <w:gridCol w:w="1206"/>
        <w:gridCol w:w="891"/>
        <w:gridCol w:w="772"/>
        <w:gridCol w:w="1369"/>
        <w:gridCol w:w="1761"/>
        <w:gridCol w:w="224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8248" w:type="dxa"/>
            <w:gridSpan w:val="6"/>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lang w:val="en-US" w:eastAsia="zh-CN"/>
              </w:rPr>
              <w:t>南塔街道“禁毒方舟”教育宣传基地</w:t>
            </w: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1206" w:type="dxa"/>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891" w:type="dxa"/>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2141" w:type="dxa"/>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4010" w:type="dxa"/>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noWrap/>
            <w:vAlign w:val="center"/>
          </w:tcPr>
          <w:p>
            <w:pPr>
              <w:widowControl/>
              <w:spacing w:line="240" w:lineRule="exact"/>
              <w:jc w:val="center"/>
              <w:rPr>
                <w:color w:val="000000"/>
                <w:kern w:val="0"/>
                <w:szCs w:val="21"/>
              </w:rPr>
            </w:pPr>
            <w:r>
              <w:rPr>
                <w:rFonts w:hint="eastAsia"/>
                <w:color w:val="000000"/>
                <w:kern w:val="0"/>
                <w:szCs w:val="21"/>
              </w:rPr>
              <w:t>□</w:t>
            </w:r>
          </w:p>
        </w:tc>
        <w:tc>
          <w:tcPr>
            <w:tcW w:w="891" w:type="dxa"/>
            <w:noWrap/>
            <w:vAlign w:val="center"/>
          </w:tcPr>
          <w:p>
            <w:pPr>
              <w:spacing w:line="240" w:lineRule="exact"/>
              <w:jc w:val="center"/>
              <w:rPr>
                <w:szCs w:val="21"/>
              </w:rPr>
            </w:pPr>
            <w:r>
              <w:rPr>
                <w:rFonts w:hint="eastAsia"/>
                <w:color w:val="000000"/>
                <w:kern w:val="0"/>
                <w:szCs w:val="21"/>
              </w:rPr>
              <w:t>□</w:t>
            </w:r>
          </w:p>
        </w:tc>
        <w:tc>
          <w:tcPr>
            <w:tcW w:w="2141" w:type="dxa"/>
            <w:gridSpan w:val="2"/>
            <w:noWrap/>
            <w:vAlign w:val="center"/>
          </w:tcPr>
          <w:p>
            <w:pPr>
              <w:spacing w:line="240" w:lineRule="exact"/>
              <w:jc w:val="center"/>
              <w:rPr>
                <w:rFonts w:hint="eastAsia" w:eastAsia="宋体"/>
                <w:szCs w:val="21"/>
                <w:lang w:eastAsia="zh-CN"/>
              </w:rPr>
            </w:pPr>
            <w:r>
              <w:rPr>
                <w:rFonts w:hint="eastAsia"/>
                <w:color w:val="000000"/>
                <w:kern w:val="0"/>
                <w:szCs w:val="21"/>
                <w:lang w:eastAsia="zh-CN"/>
              </w:rPr>
              <w:t>□</w:t>
            </w:r>
          </w:p>
        </w:tc>
        <w:tc>
          <w:tcPr>
            <w:tcW w:w="4010" w:type="dxa"/>
            <w:gridSpan w:val="2"/>
            <w:noWrap/>
            <w:vAlign w:val="center"/>
          </w:tcPr>
          <w:p>
            <w:pPr>
              <w:spacing w:line="240" w:lineRule="exact"/>
              <w:jc w:val="center"/>
              <w:rPr>
                <w:rFonts w:hint="eastAsia" w:eastAsia="宋体"/>
                <w:szCs w:val="21"/>
                <w:lang w:eastAsia="zh-CN"/>
              </w:rPr>
            </w:pPr>
            <w:r>
              <w:rPr>
                <w:rFonts w:hint="eastAsia"/>
                <w:color w:val="000000"/>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4238" w:type="dxa"/>
            <w:gridSpan w:val="4"/>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乐至县人民政府南塔街道办事处</w:t>
            </w:r>
          </w:p>
        </w:tc>
        <w:tc>
          <w:tcPr>
            <w:tcW w:w="1761" w:type="dxa"/>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787" w:type="dxa"/>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1206"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891" w:type="dxa"/>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万元</w:t>
            </w:r>
            <w:r>
              <w:rPr>
                <w:color w:val="000000"/>
                <w:kern w:val="0"/>
                <w:szCs w:val="21"/>
              </w:rPr>
              <w:t>)</w:t>
            </w:r>
          </w:p>
        </w:tc>
        <w:tc>
          <w:tcPr>
            <w:tcW w:w="772" w:type="dxa"/>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万元</w:t>
            </w:r>
            <w:r>
              <w:rPr>
                <w:color w:val="000000"/>
                <w:kern w:val="0"/>
                <w:szCs w:val="21"/>
              </w:rPr>
              <w:t>)</w:t>
            </w:r>
          </w:p>
        </w:tc>
        <w:tc>
          <w:tcPr>
            <w:tcW w:w="1369"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1761"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2249"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891"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27.4843</w:t>
            </w:r>
          </w:p>
        </w:tc>
        <w:tc>
          <w:tcPr>
            <w:tcW w:w="772"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27.4843</w:t>
            </w:r>
          </w:p>
        </w:tc>
        <w:tc>
          <w:tcPr>
            <w:tcW w:w="1369"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761"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891"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27.48.43</w:t>
            </w:r>
          </w:p>
        </w:tc>
        <w:tc>
          <w:tcPr>
            <w:tcW w:w="772" w:type="dxa"/>
            <w:noWrap/>
            <w:vAlign w:val="center"/>
          </w:tcPr>
          <w:p>
            <w:pPr>
              <w:widowControl/>
              <w:spacing w:line="240" w:lineRule="exact"/>
              <w:jc w:val="left"/>
              <w:rPr>
                <w:color w:val="000000"/>
                <w:kern w:val="0"/>
                <w:szCs w:val="21"/>
              </w:rPr>
            </w:pPr>
            <w:r>
              <w:rPr>
                <w:rFonts w:hint="eastAsia"/>
                <w:color w:val="000000"/>
                <w:kern w:val="0"/>
                <w:szCs w:val="21"/>
                <w:lang w:val="en-US" w:eastAsia="zh-CN"/>
              </w:rPr>
              <w:t>27.48.43</w:t>
            </w:r>
            <w:r>
              <w:rPr>
                <w:rFonts w:hint="eastAsia"/>
                <w:color w:val="000000"/>
                <w:kern w:val="0"/>
                <w:szCs w:val="21"/>
              </w:rPr>
              <w:t>　</w:t>
            </w:r>
          </w:p>
        </w:tc>
        <w:tc>
          <w:tcPr>
            <w:tcW w:w="1369"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76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891"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772" w:type="dxa"/>
            <w:noWrap/>
            <w:vAlign w:val="center"/>
          </w:tcPr>
          <w:p>
            <w:pPr>
              <w:widowControl/>
              <w:spacing w:line="240" w:lineRule="exact"/>
              <w:jc w:val="left"/>
              <w:rPr>
                <w:color w:val="000000"/>
                <w:kern w:val="0"/>
                <w:szCs w:val="21"/>
              </w:rPr>
            </w:pPr>
            <w:r>
              <w:rPr>
                <w:rFonts w:hint="eastAsia"/>
                <w:color w:val="000000"/>
                <w:kern w:val="0"/>
                <w:szCs w:val="21"/>
                <w:lang w:val="en-US" w:eastAsia="zh-CN"/>
              </w:rPr>
              <w:t>0</w:t>
            </w:r>
            <w:r>
              <w:rPr>
                <w:rFonts w:hint="eastAsia"/>
                <w:color w:val="000000"/>
                <w:kern w:val="0"/>
                <w:szCs w:val="21"/>
              </w:rPr>
              <w:t>　</w:t>
            </w:r>
          </w:p>
        </w:tc>
        <w:tc>
          <w:tcPr>
            <w:tcW w:w="136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76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787" w:type="dxa"/>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1206"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891" w:type="dxa"/>
            <w:noWrap/>
            <w:vAlign w:val="center"/>
          </w:tcPr>
          <w:p>
            <w:pPr>
              <w:widowControl/>
              <w:spacing w:line="240" w:lineRule="exact"/>
              <w:jc w:val="center"/>
              <w:rPr>
                <w:color w:val="000000"/>
                <w:kern w:val="0"/>
                <w:szCs w:val="21"/>
              </w:rPr>
            </w:pPr>
            <w:r>
              <w:rPr>
                <w:rFonts w:hint="eastAsia"/>
                <w:color w:val="000000"/>
                <w:kern w:val="0"/>
                <w:szCs w:val="21"/>
              </w:rPr>
              <w:t>合计</w:t>
            </w:r>
          </w:p>
        </w:tc>
        <w:tc>
          <w:tcPr>
            <w:tcW w:w="772" w:type="dxa"/>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1369" w:type="dxa"/>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1761" w:type="dxa"/>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2249" w:type="dxa"/>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89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7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36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76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89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7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36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76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89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7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36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76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89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7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369"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 xml:space="preserve"> </w:t>
            </w:r>
          </w:p>
        </w:tc>
        <w:tc>
          <w:tcPr>
            <w:tcW w:w="176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89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7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36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76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787" w:type="dxa"/>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2097"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2141"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4010"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2097" w:type="dxa"/>
            <w:gridSpan w:val="2"/>
            <w:vMerge w:val="restart"/>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禁毒教育基地全面整改到位，达到国家验收标准。</w:t>
            </w:r>
          </w:p>
          <w:p>
            <w:pPr>
              <w:widowControl/>
              <w:spacing w:line="240" w:lineRule="exact"/>
              <w:jc w:val="left"/>
              <w:rPr>
                <w:color w:val="000000"/>
                <w:kern w:val="0"/>
                <w:szCs w:val="21"/>
              </w:rPr>
            </w:pPr>
            <w:r>
              <w:rPr>
                <w:rFonts w:hint="eastAsia"/>
                <w:color w:val="000000"/>
                <w:kern w:val="0"/>
                <w:szCs w:val="21"/>
              </w:rPr>
              <w:t>　</w:t>
            </w:r>
          </w:p>
        </w:tc>
        <w:tc>
          <w:tcPr>
            <w:tcW w:w="2141" w:type="dxa"/>
            <w:gridSpan w:val="2"/>
            <w:vMerge w:val="restart"/>
            <w:noWrap/>
            <w:vAlign w:val="center"/>
          </w:tcPr>
          <w:p>
            <w:pPr>
              <w:widowControl/>
              <w:spacing w:line="240" w:lineRule="exact"/>
              <w:jc w:val="center"/>
              <w:rPr>
                <w:rFonts w:hint="eastAsia"/>
                <w:color w:val="000000"/>
                <w:kern w:val="0"/>
                <w:szCs w:val="21"/>
              </w:rPr>
            </w:pPr>
            <w:r>
              <w:rPr>
                <w:rFonts w:hint="eastAsia"/>
                <w:color w:val="000000"/>
                <w:kern w:val="0"/>
                <w:szCs w:val="21"/>
              </w:rPr>
              <w:t>　</w:t>
            </w:r>
          </w:p>
          <w:p>
            <w:pPr>
              <w:widowControl/>
              <w:spacing w:line="240" w:lineRule="exact"/>
              <w:jc w:val="center"/>
              <w:rPr>
                <w:color w:val="000000"/>
                <w:kern w:val="0"/>
                <w:szCs w:val="21"/>
              </w:rPr>
            </w:pPr>
            <w:r>
              <w:rPr>
                <w:rFonts w:hint="eastAsia"/>
                <w:color w:val="000000"/>
                <w:kern w:val="0"/>
                <w:szCs w:val="21"/>
              </w:rPr>
              <w:t>　</w:t>
            </w:r>
          </w:p>
          <w:p>
            <w:pPr>
              <w:widowControl/>
              <w:spacing w:line="240" w:lineRule="exact"/>
              <w:jc w:val="center"/>
              <w:rPr>
                <w:color w:val="000000"/>
                <w:kern w:val="0"/>
                <w:szCs w:val="21"/>
              </w:rPr>
            </w:pPr>
            <w:r>
              <w:rPr>
                <w:rFonts w:hint="eastAsia"/>
                <w:color w:val="000000"/>
                <w:kern w:val="0"/>
                <w:szCs w:val="21"/>
                <w:lang w:val="en-US" w:eastAsia="zh-CN"/>
              </w:rPr>
              <w:t>禁毒教育基地全面整改到位，达到国家验收标准</w:t>
            </w:r>
            <w:r>
              <w:rPr>
                <w:rFonts w:hint="eastAsia"/>
                <w:color w:val="000000"/>
                <w:kern w:val="0"/>
                <w:szCs w:val="21"/>
              </w:rPr>
              <w:t>　</w:t>
            </w:r>
          </w:p>
          <w:p>
            <w:pPr>
              <w:widowControl/>
              <w:spacing w:line="240" w:lineRule="exact"/>
              <w:jc w:val="center"/>
              <w:rPr>
                <w:color w:val="000000"/>
                <w:kern w:val="0"/>
                <w:szCs w:val="21"/>
              </w:rPr>
            </w:pPr>
            <w:r>
              <w:rPr>
                <w:rFonts w:hint="eastAsia"/>
                <w:color w:val="000000"/>
                <w:kern w:val="0"/>
                <w:szCs w:val="21"/>
              </w:rPr>
              <w:t>　</w:t>
            </w:r>
          </w:p>
          <w:p>
            <w:pPr>
              <w:widowControl/>
              <w:spacing w:line="240" w:lineRule="exact"/>
              <w:jc w:val="center"/>
              <w:rPr>
                <w:color w:val="000000"/>
                <w:kern w:val="0"/>
                <w:szCs w:val="21"/>
              </w:rPr>
            </w:pPr>
            <w:r>
              <w:rPr>
                <w:rFonts w:hint="eastAsia"/>
                <w:color w:val="000000"/>
                <w:kern w:val="0"/>
                <w:szCs w:val="21"/>
              </w:rPr>
              <w:t>　</w:t>
            </w:r>
          </w:p>
        </w:tc>
        <w:tc>
          <w:tcPr>
            <w:tcW w:w="4010"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2097" w:type="dxa"/>
            <w:gridSpan w:val="2"/>
            <w:vMerge w:val="continue"/>
            <w:tcBorders/>
            <w:noWrap/>
            <w:vAlign w:val="center"/>
          </w:tcPr>
          <w:p>
            <w:pPr>
              <w:widowControl/>
              <w:spacing w:line="240" w:lineRule="exact"/>
              <w:jc w:val="left"/>
              <w:rPr>
                <w:color w:val="000000"/>
                <w:kern w:val="0"/>
                <w:szCs w:val="21"/>
              </w:rPr>
            </w:pPr>
          </w:p>
        </w:tc>
        <w:tc>
          <w:tcPr>
            <w:tcW w:w="2141" w:type="dxa"/>
            <w:gridSpan w:val="2"/>
            <w:vMerge w:val="continue"/>
            <w:tcBorders/>
            <w:noWrap/>
            <w:vAlign w:val="center"/>
          </w:tcPr>
          <w:p>
            <w:pPr>
              <w:widowControl/>
              <w:spacing w:line="240" w:lineRule="exact"/>
              <w:jc w:val="center"/>
              <w:rPr>
                <w:color w:val="000000"/>
                <w:kern w:val="0"/>
                <w:szCs w:val="21"/>
              </w:rPr>
            </w:pPr>
          </w:p>
        </w:tc>
        <w:tc>
          <w:tcPr>
            <w:tcW w:w="4010"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2097" w:type="dxa"/>
            <w:gridSpan w:val="2"/>
            <w:vMerge w:val="continue"/>
            <w:tcBorders/>
            <w:noWrap/>
            <w:vAlign w:val="center"/>
          </w:tcPr>
          <w:p>
            <w:pPr>
              <w:widowControl/>
              <w:spacing w:line="240" w:lineRule="exact"/>
              <w:jc w:val="left"/>
              <w:rPr>
                <w:color w:val="000000"/>
                <w:kern w:val="0"/>
                <w:szCs w:val="21"/>
              </w:rPr>
            </w:pPr>
          </w:p>
        </w:tc>
        <w:tc>
          <w:tcPr>
            <w:tcW w:w="2141" w:type="dxa"/>
            <w:gridSpan w:val="2"/>
            <w:vMerge w:val="continue"/>
            <w:tcBorders/>
            <w:noWrap/>
            <w:vAlign w:val="center"/>
          </w:tcPr>
          <w:p>
            <w:pPr>
              <w:widowControl/>
              <w:spacing w:line="240" w:lineRule="exact"/>
              <w:jc w:val="center"/>
              <w:rPr>
                <w:color w:val="000000"/>
                <w:kern w:val="0"/>
                <w:szCs w:val="21"/>
              </w:rPr>
            </w:pPr>
          </w:p>
        </w:tc>
        <w:tc>
          <w:tcPr>
            <w:tcW w:w="4010"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2097" w:type="dxa"/>
            <w:gridSpan w:val="2"/>
            <w:vMerge w:val="continue"/>
            <w:tcBorders/>
            <w:noWrap/>
            <w:vAlign w:val="center"/>
          </w:tcPr>
          <w:p>
            <w:pPr>
              <w:widowControl/>
              <w:spacing w:line="240" w:lineRule="exact"/>
              <w:jc w:val="left"/>
              <w:rPr>
                <w:color w:val="000000"/>
                <w:kern w:val="0"/>
                <w:szCs w:val="21"/>
              </w:rPr>
            </w:pPr>
          </w:p>
        </w:tc>
        <w:tc>
          <w:tcPr>
            <w:tcW w:w="2141" w:type="dxa"/>
            <w:gridSpan w:val="2"/>
            <w:vMerge w:val="continue"/>
            <w:tcBorders/>
            <w:noWrap/>
            <w:vAlign w:val="center"/>
          </w:tcPr>
          <w:p>
            <w:pPr>
              <w:widowControl/>
              <w:spacing w:line="240" w:lineRule="exact"/>
              <w:jc w:val="center"/>
              <w:rPr>
                <w:color w:val="000000"/>
                <w:kern w:val="0"/>
                <w:szCs w:val="21"/>
              </w:rPr>
            </w:pPr>
          </w:p>
        </w:tc>
        <w:tc>
          <w:tcPr>
            <w:tcW w:w="4010"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2097" w:type="dxa"/>
            <w:gridSpan w:val="2"/>
            <w:vMerge w:val="continue"/>
            <w:tcBorders/>
            <w:noWrap/>
            <w:vAlign w:val="center"/>
          </w:tcPr>
          <w:p>
            <w:pPr>
              <w:widowControl/>
              <w:spacing w:line="240" w:lineRule="exact"/>
              <w:jc w:val="left"/>
              <w:rPr>
                <w:color w:val="000000"/>
                <w:kern w:val="0"/>
                <w:szCs w:val="21"/>
              </w:rPr>
            </w:pPr>
          </w:p>
        </w:tc>
        <w:tc>
          <w:tcPr>
            <w:tcW w:w="2141" w:type="dxa"/>
            <w:gridSpan w:val="2"/>
            <w:vMerge w:val="continue"/>
            <w:tcBorders/>
            <w:noWrap/>
            <w:vAlign w:val="center"/>
          </w:tcPr>
          <w:p>
            <w:pPr>
              <w:widowControl/>
              <w:spacing w:line="240" w:lineRule="exact"/>
              <w:jc w:val="center"/>
              <w:rPr>
                <w:color w:val="000000"/>
                <w:kern w:val="0"/>
                <w:szCs w:val="21"/>
              </w:rPr>
            </w:pPr>
          </w:p>
        </w:tc>
        <w:tc>
          <w:tcPr>
            <w:tcW w:w="4010"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787" w:type="dxa"/>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1206" w:type="dxa"/>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891" w:type="dxa"/>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772" w:type="dxa"/>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1369" w:type="dxa"/>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1761" w:type="dxa"/>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2249" w:type="dxa"/>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891" w:type="dxa"/>
            <w:vMerge w:val="restart"/>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772"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门窗制作</w:t>
            </w:r>
          </w:p>
        </w:tc>
        <w:tc>
          <w:tcPr>
            <w:tcW w:w="1369" w:type="dxa"/>
            <w:noWrap/>
            <w:vAlign w:val="center"/>
          </w:tcPr>
          <w:p>
            <w:pPr>
              <w:widowControl/>
              <w:spacing w:line="240" w:lineRule="exact"/>
              <w:jc w:val="left"/>
              <w:rPr>
                <w:color w:val="000000"/>
                <w:kern w:val="0"/>
                <w:szCs w:val="21"/>
              </w:rPr>
            </w:pPr>
            <w:r>
              <w:rPr>
                <w:rFonts w:hint="eastAsia"/>
                <w:color w:val="000000"/>
                <w:kern w:val="0"/>
                <w:szCs w:val="21"/>
                <w:lang w:val="en-US" w:eastAsia="zh-CN"/>
              </w:rPr>
              <w:t>10个</w:t>
            </w:r>
            <w:r>
              <w:rPr>
                <w:rFonts w:hint="eastAsia"/>
                <w:color w:val="000000"/>
                <w:kern w:val="0"/>
                <w:szCs w:val="21"/>
              </w:rPr>
              <w:t>　</w:t>
            </w:r>
          </w:p>
        </w:tc>
        <w:tc>
          <w:tcPr>
            <w:tcW w:w="1761"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已完成10个门窗制作</w:t>
            </w: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vMerge w:val="continue"/>
            <w:noWrap w:val="0"/>
            <w:vAlign w:val="center"/>
          </w:tcPr>
          <w:p>
            <w:pPr>
              <w:widowControl/>
              <w:spacing w:line="240" w:lineRule="exact"/>
              <w:jc w:val="left"/>
              <w:rPr>
                <w:color w:val="000000"/>
                <w:kern w:val="0"/>
                <w:szCs w:val="21"/>
              </w:rPr>
            </w:pPr>
          </w:p>
        </w:tc>
        <w:tc>
          <w:tcPr>
            <w:tcW w:w="891" w:type="dxa"/>
            <w:vMerge w:val="continue"/>
            <w:tcBorders/>
            <w:noWrap w:val="0"/>
            <w:vAlign w:val="center"/>
          </w:tcPr>
          <w:p>
            <w:pPr>
              <w:widowControl/>
              <w:spacing w:line="240" w:lineRule="exact"/>
              <w:jc w:val="left"/>
              <w:rPr>
                <w:color w:val="000000"/>
                <w:kern w:val="0"/>
                <w:szCs w:val="21"/>
              </w:rPr>
            </w:pPr>
          </w:p>
        </w:tc>
        <w:tc>
          <w:tcPr>
            <w:tcW w:w="772"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墙体粉刷及喷漆</w:t>
            </w:r>
          </w:p>
        </w:tc>
        <w:tc>
          <w:tcPr>
            <w:tcW w:w="1369" w:type="dxa"/>
            <w:noWrap/>
            <w:vAlign w:val="center"/>
          </w:tcPr>
          <w:p>
            <w:pPr>
              <w:widowControl/>
              <w:spacing w:line="240" w:lineRule="exact"/>
              <w:jc w:val="left"/>
              <w:rPr>
                <w:color w:val="000000"/>
                <w:kern w:val="0"/>
                <w:szCs w:val="21"/>
              </w:rPr>
            </w:pPr>
            <w:r>
              <w:rPr>
                <w:rFonts w:hint="eastAsia"/>
                <w:color w:val="000000"/>
                <w:kern w:val="0"/>
                <w:szCs w:val="21"/>
                <w:lang w:val="en-US" w:eastAsia="zh-CN"/>
              </w:rPr>
              <w:t>300平方米</w:t>
            </w:r>
            <w:r>
              <w:rPr>
                <w:rFonts w:hint="eastAsia"/>
                <w:color w:val="000000"/>
                <w:kern w:val="0"/>
                <w:szCs w:val="21"/>
              </w:rPr>
              <w:t>　</w:t>
            </w:r>
          </w:p>
        </w:tc>
        <w:tc>
          <w:tcPr>
            <w:tcW w:w="1761"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已完成300平方米墙体粉刷及喷漆</w:t>
            </w: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vMerge w:val="continue"/>
            <w:noWrap w:val="0"/>
            <w:vAlign w:val="center"/>
          </w:tcPr>
          <w:p>
            <w:pPr>
              <w:widowControl/>
              <w:spacing w:line="240" w:lineRule="exact"/>
              <w:jc w:val="left"/>
              <w:rPr>
                <w:color w:val="000000"/>
                <w:kern w:val="0"/>
                <w:szCs w:val="21"/>
              </w:rPr>
            </w:pPr>
          </w:p>
        </w:tc>
        <w:tc>
          <w:tcPr>
            <w:tcW w:w="891" w:type="dxa"/>
            <w:vMerge w:val="continue"/>
            <w:tcBorders/>
            <w:noWrap w:val="0"/>
            <w:vAlign w:val="center"/>
          </w:tcPr>
          <w:p>
            <w:pPr>
              <w:widowControl/>
              <w:spacing w:line="240" w:lineRule="exact"/>
              <w:jc w:val="left"/>
              <w:rPr>
                <w:color w:val="000000"/>
                <w:kern w:val="0"/>
                <w:szCs w:val="21"/>
              </w:rPr>
            </w:pPr>
          </w:p>
        </w:tc>
        <w:tc>
          <w:tcPr>
            <w:tcW w:w="772"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房屋漏水防治</w:t>
            </w:r>
          </w:p>
        </w:tc>
        <w:tc>
          <w:tcPr>
            <w:tcW w:w="1369" w:type="dxa"/>
            <w:noWrap/>
            <w:vAlign w:val="center"/>
          </w:tcPr>
          <w:p>
            <w:pPr>
              <w:widowControl/>
              <w:spacing w:line="240" w:lineRule="exact"/>
              <w:jc w:val="left"/>
              <w:rPr>
                <w:color w:val="000000"/>
                <w:kern w:val="0"/>
                <w:szCs w:val="21"/>
              </w:rPr>
            </w:pPr>
            <w:r>
              <w:rPr>
                <w:rFonts w:hint="eastAsia"/>
                <w:color w:val="000000"/>
                <w:kern w:val="0"/>
                <w:szCs w:val="21"/>
                <w:lang w:val="en-US" w:eastAsia="zh-CN"/>
              </w:rPr>
              <w:t>225平方米</w:t>
            </w:r>
            <w:r>
              <w:rPr>
                <w:rFonts w:hint="eastAsia"/>
                <w:color w:val="000000"/>
                <w:kern w:val="0"/>
                <w:szCs w:val="21"/>
              </w:rPr>
              <w:t>　</w:t>
            </w:r>
          </w:p>
        </w:tc>
        <w:tc>
          <w:tcPr>
            <w:tcW w:w="1761"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已完成225平方米房屋漏水防治</w:t>
            </w: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vMerge w:val="continue"/>
            <w:noWrap w:val="0"/>
            <w:vAlign w:val="center"/>
          </w:tcPr>
          <w:p>
            <w:pPr>
              <w:widowControl/>
              <w:spacing w:line="240" w:lineRule="exact"/>
              <w:jc w:val="left"/>
              <w:rPr>
                <w:color w:val="000000"/>
                <w:kern w:val="0"/>
                <w:szCs w:val="21"/>
              </w:rPr>
            </w:pPr>
          </w:p>
        </w:tc>
        <w:tc>
          <w:tcPr>
            <w:tcW w:w="891" w:type="dxa"/>
            <w:vMerge w:val="continue"/>
            <w:tcBorders/>
            <w:noWrap w:val="0"/>
            <w:vAlign w:val="center"/>
          </w:tcPr>
          <w:p>
            <w:pPr>
              <w:widowControl/>
              <w:spacing w:line="240" w:lineRule="exact"/>
              <w:jc w:val="left"/>
              <w:rPr>
                <w:color w:val="000000"/>
                <w:kern w:val="0"/>
                <w:szCs w:val="21"/>
              </w:rPr>
            </w:pPr>
          </w:p>
        </w:tc>
        <w:tc>
          <w:tcPr>
            <w:tcW w:w="772" w:type="dxa"/>
            <w:noWrap/>
            <w:vAlign w:val="center"/>
          </w:tcPr>
          <w:p>
            <w:pPr>
              <w:widowControl/>
              <w:spacing w:line="240" w:lineRule="exact"/>
              <w:jc w:val="left"/>
              <w:rPr>
                <w:rFonts w:hint="default"/>
                <w:color w:val="000000"/>
                <w:kern w:val="0"/>
                <w:szCs w:val="21"/>
                <w:lang w:val="en-US" w:eastAsia="zh-CN"/>
              </w:rPr>
            </w:pPr>
            <w:r>
              <w:rPr>
                <w:rFonts w:hint="eastAsia"/>
                <w:color w:val="000000"/>
                <w:kern w:val="0"/>
                <w:szCs w:val="21"/>
                <w:lang w:val="en-US" w:eastAsia="zh-CN"/>
              </w:rPr>
              <w:t>广告宣传制作</w:t>
            </w:r>
          </w:p>
        </w:tc>
        <w:tc>
          <w:tcPr>
            <w:tcW w:w="1369" w:type="dxa"/>
            <w:noWrap/>
            <w:vAlign w:val="center"/>
          </w:tcPr>
          <w:p>
            <w:pPr>
              <w:widowControl/>
              <w:spacing w:line="240" w:lineRule="exact"/>
              <w:jc w:val="left"/>
              <w:rPr>
                <w:rFonts w:hint="default"/>
                <w:color w:val="000000"/>
                <w:kern w:val="0"/>
                <w:szCs w:val="21"/>
                <w:lang w:val="en-US" w:eastAsia="zh-CN"/>
              </w:rPr>
            </w:pPr>
            <w:r>
              <w:rPr>
                <w:rFonts w:hint="eastAsia"/>
                <w:color w:val="000000"/>
                <w:kern w:val="0"/>
                <w:szCs w:val="21"/>
                <w:lang w:val="en-US" w:eastAsia="zh-CN"/>
              </w:rPr>
              <w:t>500平方米</w:t>
            </w:r>
          </w:p>
        </w:tc>
        <w:tc>
          <w:tcPr>
            <w:tcW w:w="1761"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已完成500平方米的广告宣传制作</w:t>
            </w:r>
          </w:p>
        </w:tc>
        <w:tc>
          <w:tcPr>
            <w:tcW w:w="2249" w:type="dxa"/>
            <w:noWrap/>
            <w:vAlign w:val="center"/>
          </w:tcPr>
          <w:p>
            <w:pPr>
              <w:widowControl/>
              <w:spacing w:line="240" w:lineRule="exact"/>
              <w:jc w:val="left"/>
              <w:rPr>
                <w:rFonts w:hint="eastAsia"/>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vMerge w:val="continue"/>
            <w:noWrap w:val="0"/>
            <w:vAlign w:val="center"/>
          </w:tcPr>
          <w:p>
            <w:pPr>
              <w:widowControl/>
              <w:spacing w:line="240" w:lineRule="exact"/>
              <w:jc w:val="left"/>
              <w:rPr>
                <w:color w:val="000000"/>
                <w:kern w:val="0"/>
                <w:szCs w:val="21"/>
              </w:rPr>
            </w:pPr>
          </w:p>
        </w:tc>
        <w:tc>
          <w:tcPr>
            <w:tcW w:w="891" w:type="dxa"/>
            <w:vMerge w:val="restart"/>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772" w:type="dxa"/>
            <w:vMerge w:val="restart"/>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验收合格率</w:t>
            </w:r>
          </w:p>
        </w:tc>
        <w:tc>
          <w:tcPr>
            <w:tcW w:w="1369" w:type="dxa"/>
            <w:vMerge w:val="restart"/>
            <w:noWrap/>
            <w:vAlign w:val="center"/>
          </w:tcPr>
          <w:p>
            <w:pPr>
              <w:widowControl/>
              <w:spacing w:line="240" w:lineRule="exact"/>
              <w:jc w:val="left"/>
              <w:rPr>
                <w:rFonts w:hint="eastAsia"/>
                <w:color w:val="000000"/>
                <w:kern w:val="0"/>
                <w:szCs w:val="21"/>
              </w:rPr>
            </w:pPr>
            <w:r>
              <w:rPr>
                <w:rFonts w:hint="eastAsia"/>
                <w:color w:val="000000"/>
                <w:kern w:val="0"/>
                <w:szCs w:val="21"/>
              </w:rPr>
              <w:t>　</w:t>
            </w:r>
          </w:p>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100%</w:t>
            </w:r>
          </w:p>
          <w:p>
            <w:pPr>
              <w:widowControl/>
              <w:spacing w:line="240" w:lineRule="exact"/>
              <w:jc w:val="left"/>
              <w:rPr>
                <w:color w:val="000000"/>
                <w:kern w:val="0"/>
                <w:szCs w:val="21"/>
              </w:rPr>
            </w:pPr>
            <w:r>
              <w:rPr>
                <w:rFonts w:hint="eastAsia"/>
                <w:color w:val="000000"/>
                <w:kern w:val="0"/>
                <w:szCs w:val="21"/>
              </w:rPr>
              <w:t>　</w:t>
            </w:r>
          </w:p>
        </w:tc>
        <w:tc>
          <w:tcPr>
            <w:tcW w:w="1761" w:type="dxa"/>
            <w:vMerge w:val="restart"/>
            <w:noWrap/>
            <w:vAlign w:val="center"/>
          </w:tcPr>
          <w:p>
            <w:pPr>
              <w:widowControl/>
              <w:spacing w:line="240" w:lineRule="exact"/>
              <w:jc w:val="left"/>
              <w:rPr>
                <w:rFonts w:hint="eastAsia"/>
                <w:color w:val="000000"/>
                <w:kern w:val="0"/>
                <w:szCs w:val="21"/>
              </w:rPr>
            </w:pPr>
            <w:r>
              <w:rPr>
                <w:rFonts w:hint="eastAsia"/>
                <w:color w:val="000000"/>
                <w:kern w:val="0"/>
                <w:szCs w:val="21"/>
              </w:rPr>
              <w:t>　</w:t>
            </w:r>
          </w:p>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已完成验收</w:t>
            </w:r>
          </w:p>
          <w:p>
            <w:pPr>
              <w:widowControl/>
              <w:spacing w:line="240" w:lineRule="exact"/>
              <w:jc w:val="left"/>
              <w:rPr>
                <w:color w:val="000000"/>
                <w:kern w:val="0"/>
                <w:szCs w:val="21"/>
              </w:rPr>
            </w:pPr>
            <w:r>
              <w:rPr>
                <w:rFonts w:hint="eastAsia"/>
                <w:color w:val="000000"/>
                <w:kern w:val="0"/>
                <w:szCs w:val="21"/>
              </w:rPr>
              <w:t>　</w:t>
            </w: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vMerge w:val="continue"/>
            <w:noWrap w:val="0"/>
            <w:vAlign w:val="center"/>
          </w:tcPr>
          <w:p>
            <w:pPr>
              <w:widowControl/>
              <w:spacing w:line="240" w:lineRule="exact"/>
              <w:jc w:val="left"/>
              <w:rPr>
                <w:color w:val="000000"/>
                <w:kern w:val="0"/>
                <w:szCs w:val="21"/>
              </w:rPr>
            </w:pPr>
          </w:p>
        </w:tc>
        <w:tc>
          <w:tcPr>
            <w:tcW w:w="891" w:type="dxa"/>
            <w:vMerge w:val="continue"/>
            <w:noWrap w:val="0"/>
            <w:vAlign w:val="center"/>
          </w:tcPr>
          <w:p>
            <w:pPr>
              <w:widowControl/>
              <w:spacing w:line="240" w:lineRule="exact"/>
              <w:jc w:val="left"/>
              <w:rPr>
                <w:color w:val="000000"/>
                <w:kern w:val="0"/>
                <w:szCs w:val="21"/>
              </w:rPr>
            </w:pPr>
          </w:p>
        </w:tc>
        <w:tc>
          <w:tcPr>
            <w:tcW w:w="772" w:type="dxa"/>
            <w:vMerge w:val="continue"/>
            <w:tcBorders/>
            <w:noWrap/>
            <w:vAlign w:val="center"/>
          </w:tcPr>
          <w:p>
            <w:pPr>
              <w:widowControl/>
              <w:spacing w:line="240" w:lineRule="exact"/>
              <w:jc w:val="left"/>
              <w:rPr>
                <w:color w:val="000000"/>
                <w:kern w:val="0"/>
                <w:szCs w:val="21"/>
              </w:rPr>
            </w:pPr>
          </w:p>
        </w:tc>
        <w:tc>
          <w:tcPr>
            <w:tcW w:w="1369" w:type="dxa"/>
            <w:vMerge w:val="continue"/>
            <w:tcBorders/>
            <w:noWrap/>
            <w:vAlign w:val="center"/>
          </w:tcPr>
          <w:p>
            <w:pPr>
              <w:widowControl/>
              <w:spacing w:line="240" w:lineRule="exact"/>
              <w:jc w:val="left"/>
              <w:rPr>
                <w:color w:val="000000"/>
                <w:kern w:val="0"/>
                <w:szCs w:val="21"/>
              </w:rPr>
            </w:pPr>
          </w:p>
        </w:tc>
        <w:tc>
          <w:tcPr>
            <w:tcW w:w="1761" w:type="dxa"/>
            <w:vMerge w:val="continue"/>
            <w:tcBorders/>
            <w:noWrap/>
            <w:vAlign w:val="center"/>
          </w:tcPr>
          <w:p>
            <w:pPr>
              <w:widowControl/>
              <w:spacing w:line="240" w:lineRule="exact"/>
              <w:jc w:val="left"/>
              <w:rPr>
                <w:color w:val="000000"/>
                <w:kern w:val="0"/>
                <w:szCs w:val="21"/>
              </w:rPr>
            </w:pP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vMerge w:val="continue"/>
            <w:noWrap w:val="0"/>
            <w:vAlign w:val="center"/>
          </w:tcPr>
          <w:p>
            <w:pPr>
              <w:widowControl/>
              <w:spacing w:line="240" w:lineRule="exact"/>
              <w:jc w:val="left"/>
              <w:rPr>
                <w:color w:val="000000"/>
                <w:kern w:val="0"/>
                <w:szCs w:val="21"/>
              </w:rPr>
            </w:pPr>
          </w:p>
        </w:tc>
        <w:tc>
          <w:tcPr>
            <w:tcW w:w="891" w:type="dxa"/>
            <w:vMerge w:val="continue"/>
            <w:noWrap w:val="0"/>
            <w:vAlign w:val="center"/>
          </w:tcPr>
          <w:p>
            <w:pPr>
              <w:widowControl/>
              <w:spacing w:line="240" w:lineRule="exact"/>
              <w:jc w:val="left"/>
              <w:rPr>
                <w:color w:val="000000"/>
                <w:kern w:val="0"/>
                <w:szCs w:val="21"/>
              </w:rPr>
            </w:pPr>
          </w:p>
        </w:tc>
        <w:tc>
          <w:tcPr>
            <w:tcW w:w="772" w:type="dxa"/>
            <w:vMerge w:val="continue"/>
            <w:tcBorders/>
            <w:noWrap/>
            <w:vAlign w:val="center"/>
          </w:tcPr>
          <w:p>
            <w:pPr>
              <w:widowControl/>
              <w:spacing w:line="240" w:lineRule="exact"/>
              <w:jc w:val="left"/>
              <w:rPr>
                <w:color w:val="000000"/>
                <w:kern w:val="0"/>
                <w:szCs w:val="21"/>
              </w:rPr>
            </w:pPr>
          </w:p>
        </w:tc>
        <w:tc>
          <w:tcPr>
            <w:tcW w:w="1369" w:type="dxa"/>
            <w:vMerge w:val="continue"/>
            <w:tcBorders/>
            <w:noWrap/>
            <w:vAlign w:val="center"/>
          </w:tcPr>
          <w:p>
            <w:pPr>
              <w:widowControl/>
              <w:spacing w:line="240" w:lineRule="exact"/>
              <w:jc w:val="left"/>
              <w:rPr>
                <w:color w:val="000000"/>
                <w:kern w:val="0"/>
                <w:szCs w:val="21"/>
              </w:rPr>
            </w:pPr>
          </w:p>
        </w:tc>
        <w:tc>
          <w:tcPr>
            <w:tcW w:w="1761" w:type="dxa"/>
            <w:vMerge w:val="continue"/>
            <w:tcBorders/>
            <w:noWrap/>
            <w:vAlign w:val="center"/>
          </w:tcPr>
          <w:p>
            <w:pPr>
              <w:widowControl/>
              <w:spacing w:line="240" w:lineRule="exact"/>
              <w:jc w:val="left"/>
              <w:rPr>
                <w:color w:val="000000"/>
                <w:kern w:val="0"/>
                <w:szCs w:val="21"/>
              </w:rPr>
            </w:pP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vMerge w:val="continue"/>
            <w:noWrap w:val="0"/>
            <w:vAlign w:val="center"/>
          </w:tcPr>
          <w:p>
            <w:pPr>
              <w:widowControl/>
              <w:spacing w:line="240" w:lineRule="exact"/>
              <w:jc w:val="left"/>
              <w:rPr>
                <w:color w:val="000000"/>
                <w:kern w:val="0"/>
                <w:szCs w:val="21"/>
              </w:rPr>
            </w:pPr>
          </w:p>
        </w:tc>
        <w:tc>
          <w:tcPr>
            <w:tcW w:w="891" w:type="dxa"/>
            <w:vMerge w:val="restart"/>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772" w:type="dxa"/>
            <w:vMerge w:val="restart"/>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建设工期</w:t>
            </w:r>
          </w:p>
        </w:tc>
        <w:tc>
          <w:tcPr>
            <w:tcW w:w="1369" w:type="dxa"/>
            <w:vMerge w:val="restart"/>
            <w:noWrap/>
            <w:vAlign w:val="center"/>
          </w:tcPr>
          <w:p>
            <w:pPr>
              <w:widowControl/>
              <w:spacing w:line="240" w:lineRule="exact"/>
              <w:jc w:val="left"/>
              <w:rPr>
                <w:rFonts w:hint="eastAsia"/>
                <w:color w:val="000000"/>
                <w:kern w:val="0"/>
                <w:szCs w:val="21"/>
              </w:rPr>
            </w:pPr>
            <w:r>
              <w:rPr>
                <w:rFonts w:hint="eastAsia"/>
                <w:color w:val="000000"/>
                <w:kern w:val="0"/>
                <w:szCs w:val="21"/>
              </w:rPr>
              <w:t>　</w:t>
            </w:r>
          </w:p>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40天</w:t>
            </w:r>
          </w:p>
          <w:p>
            <w:pPr>
              <w:widowControl/>
              <w:spacing w:line="240" w:lineRule="exact"/>
              <w:jc w:val="left"/>
              <w:rPr>
                <w:color w:val="000000"/>
                <w:kern w:val="0"/>
                <w:szCs w:val="21"/>
              </w:rPr>
            </w:pPr>
            <w:r>
              <w:rPr>
                <w:rFonts w:hint="eastAsia"/>
                <w:color w:val="000000"/>
                <w:kern w:val="0"/>
                <w:szCs w:val="21"/>
              </w:rPr>
              <w:t>　</w:t>
            </w:r>
          </w:p>
        </w:tc>
        <w:tc>
          <w:tcPr>
            <w:tcW w:w="1761" w:type="dxa"/>
            <w:vMerge w:val="restart"/>
            <w:noWrap/>
            <w:vAlign w:val="center"/>
          </w:tcPr>
          <w:p>
            <w:pPr>
              <w:widowControl/>
              <w:spacing w:line="240" w:lineRule="exact"/>
              <w:jc w:val="left"/>
              <w:rPr>
                <w:rFonts w:hint="eastAsia"/>
                <w:color w:val="000000"/>
                <w:kern w:val="0"/>
                <w:szCs w:val="21"/>
              </w:rPr>
            </w:pPr>
            <w:r>
              <w:rPr>
                <w:rFonts w:hint="eastAsia"/>
                <w:color w:val="000000"/>
                <w:kern w:val="0"/>
                <w:szCs w:val="21"/>
              </w:rPr>
              <w:t>　</w:t>
            </w:r>
          </w:p>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在40天建设工期内完成项目建设</w:t>
            </w:r>
          </w:p>
          <w:p>
            <w:pPr>
              <w:widowControl/>
              <w:spacing w:line="240" w:lineRule="exact"/>
              <w:jc w:val="left"/>
              <w:rPr>
                <w:color w:val="000000"/>
                <w:kern w:val="0"/>
                <w:szCs w:val="21"/>
              </w:rPr>
            </w:pPr>
            <w:r>
              <w:rPr>
                <w:rFonts w:hint="eastAsia"/>
                <w:color w:val="000000"/>
                <w:kern w:val="0"/>
                <w:szCs w:val="21"/>
              </w:rPr>
              <w:t>　</w:t>
            </w: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vMerge w:val="continue"/>
            <w:noWrap w:val="0"/>
            <w:vAlign w:val="center"/>
          </w:tcPr>
          <w:p>
            <w:pPr>
              <w:widowControl/>
              <w:spacing w:line="240" w:lineRule="exact"/>
              <w:jc w:val="left"/>
              <w:rPr>
                <w:color w:val="000000"/>
                <w:kern w:val="0"/>
                <w:szCs w:val="21"/>
              </w:rPr>
            </w:pPr>
          </w:p>
        </w:tc>
        <w:tc>
          <w:tcPr>
            <w:tcW w:w="891" w:type="dxa"/>
            <w:vMerge w:val="continue"/>
            <w:noWrap w:val="0"/>
            <w:vAlign w:val="center"/>
          </w:tcPr>
          <w:p>
            <w:pPr>
              <w:widowControl/>
              <w:spacing w:line="240" w:lineRule="exact"/>
              <w:jc w:val="left"/>
              <w:rPr>
                <w:color w:val="000000"/>
                <w:kern w:val="0"/>
                <w:szCs w:val="21"/>
              </w:rPr>
            </w:pPr>
          </w:p>
        </w:tc>
        <w:tc>
          <w:tcPr>
            <w:tcW w:w="772" w:type="dxa"/>
            <w:vMerge w:val="continue"/>
            <w:tcBorders/>
            <w:noWrap/>
            <w:vAlign w:val="center"/>
          </w:tcPr>
          <w:p>
            <w:pPr>
              <w:widowControl/>
              <w:spacing w:line="240" w:lineRule="exact"/>
              <w:jc w:val="left"/>
              <w:rPr>
                <w:color w:val="000000"/>
                <w:kern w:val="0"/>
                <w:szCs w:val="21"/>
              </w:rPr>
            </w:pPr>
          </w:p>
        </w:tc>
        <w:tc>
          <w:tcPr>
            <w:tcW w:w="1369" w:type="dxa"/>
            <w:vMerge w:val="continue"/>
            <w:tcBorders/>
            <w:noWrap/>
            <w:vAlign w:val="center"/>
          </w:tcPr>
          <w:p>
            <w:pPr>
              <w:widowControl/>
              <w:spacing w:line="240" w:lineRule="exact"/>
              <w:jc w:val="left"/>
              <w:rPr>
                <w:color w:val="000000"/>
                <w:kern w:val="0"/>
                <w:szCs w:val="21"/>
              </w:rPr>
            </w:pPr>
          </w:p>
        </w:tc>
        <w:tc>
          <w:tcPr>
            <w:tcW w:w="1761" w:type="dxa"/>
            <w:vMerge w:val="continue"/>
            <w:tcBorders/>
            <w:noWrap/>
            <w:vAlign w:val="center"/>
          </w:tcPr>
          <w:p>
            <w:pPr>
              <w:widowControl/>
              <w:spacing w:line="240" w:lineRule="exact"/>
              <w:jc w:val="left"/>
              <w:rPr>
                <w:color w:val="000000"/>
                <w:kern w:val="0"/>
                <w:szCs w:val="21"/>
              </w:rPr>
            </w:pP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vMerge w:val="continue"/>
            <w:noWrap w:val="0"/>
            <w:vAlign w:val="center"/>
          </w:tcPr>
          <w:p>
            <w:pPr>
              <w:widowControl/>
              <w:spacing w:line="240" w:lineRule="exact"/>
              <w:jc w:val="left"/>
              <w:rPr>
                <w:color w:val="000000"/>
                <w:kern w:val="0"/>
                <w:szCs w:val="21"/>
              </w:rPr>
            </w:pPr>
          </w:p>
        </w:tc>
        <w:tc>
          <w:tcPr>
            <w:tcW w:w="891" w:type="dxa"/>
            <w:vMerge w:val="continue"/>
            <w:noWrap w:val="0"/>
            <w:vAlign w:val="center"/>
          </w:tcPr>
          <w:p>
            <w:pPr>
              <w:widowControl/>
              <w:spacing w:line="240" w:lineRule="exact"/>
              <w:jc w:val="left"/>
              <w:rPr>
                <w:color w:val="000000"/>
                <w:kern w:val="0"/>
                <w:szCs w:val="21"/>
              </w:rPr>
            </w:pPr>
          </w:p>
        </w:tc>
        <w:tc>
          <w:tcPr>
            <w:tcW w:w="772" w:type="dxa"/>
            <w:vMerge w:val="continue"/>
            <w:tcBorders/>
            <w:noWrap/>
            <w:vAlign w:val="center"/>
          </w:tcPr>
          <w:p>
            <w:pPr>
              <w:widowControl/>
              <w:spacing w:line="240" w:lineRule="exact"/>
              <w:jc w:val="left"/>
              <w:rPr>
                <w:color w:val="000000"/>
                <w:kern w:val="0"/>
                <w:szCs w:val="21"/>
              </w:rPr>
            </w:pPr>
          </w:p>
        </w:tc>
        <w:tc>
          <w:tcPr>
            <w:tcW w:w="1369" w:type="dxa"/>
            <w:vMerge w:val="continue"/>
            <w:tcBorders/>
            <w:noWrap/>
            <w:vAlign w:val="center"/>
          </w:tcPr>
          <w:p>
            <w:pPr>
              <w:widowControl/>
              <w:spacing w:line="240" w:lineRule="exact"/>
              <w:jc w:val="left"/>
              <w:rPr>
                <w:color w:val="000000"/>
                <w:kern w:val="0"/>
                <w:szCs w:val="21"/>
              </w:rPr>
            </w:pPr>
          </w:p>
        </w:tc>
        <w:tc>
          <w:tcPr>
            <w:tcW w:w="1761" w:type="dxa"/>
            <w:vMerge w:val="continue"/>
            <w:tcBorders/>
            <w:noWrap/>
            <w:vAlign w:val="center"/>
          </w:tcPr>
          <w:p>
            <w:pPr>
              <w:widowControl/>
              <w:spacing w:line="240" w:lineRule="exact"/>
              <w:jc w:val="left"/>
              <w:rPr>
                <w:color w:val="000000"/>
                <w:kern w:val="0"/>
                <w:szCs w:val="21"/>
              </w:rPr>
            </w:pP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vMerge w:val="continue"/>
            <w:noWrap w:val="0"/>
            <w:vAlign w:val="center"/>
          </w:tcPr>
          <w:p>
            <w:pPr>
              <w:widowControl/>
              <w:spacing w:line="240" w:lineRule="exact"/>
              <w:jc w:val="left"/>
              <w:rPr>
                <w:color w:val="000000"/>
                <w:kern w:val="0"/>
                <w:szCs w:val="21"/>
              </w:rPr>
            </w:pPr>
          </w:p>
        </w:tc>
        <w:tc>
          <w:tcPr>
            <w:tcW w:w="891" w:type="dxa"/>
            <w:vMerge w:val="restart"/>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772" w:type="dxa"/>
            <w:vMerge w:val="restart"/>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项目总投入成本</w:t>
            </w:r>
          </w:p>
        </w:tc>
        <w:tc>
          <w:tcPr>
            <w:tcW w:w="1369" w:type="dxa"/>
            <w:vMerge w:val="restart"/>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≤27.5万元</w:t>
            </w:r>
          </w:p>
          <w:p>
            <w:pPr>
              <w:widowControl/>
              <w:spacing w:line="240" w:lineRule="exact"/>
              <w:jc w:val="left"/>
              <w:rPr>
                <w:color w:val="000000"/>
                <w:kern w:val="0"/>
                <w:szCs w:val="21"/>
              </w:rPr>
            </w:pPr>
            <w:r>
              <w:rPr>
                <w:rFonts w:hint="eastAsia"/>
                <w:color w:val="000000"/>
                <w:kern w:val="0"/>
                <w:szCs w:val="21"/>
              </w:rPr>
              <w:t>　</w:t>
            </w:r>
          </w:p>
          <w:p>
            <w:pPr>
              <w:widowControl/>
              <w:spacing w:line="240" w:lineRule="exact"/>
              <w:jc w:val="left"/>
              <w:rPr>
                <w:color w:val="000000"/>
                <w:kern w:val="0"/>
                <w:szCs w:val="21"/>
              </w:rPr>
            </w:pPr>
            <w:r>
              <w:rPr>
                <w:rFonts w:hint="eastAsia"/>
                <w:color w:val="000000"/>
                <w:kern w:val="0"/>
                <w:szCs w:val="21"/>
              </w:rPr>
              <w:t>　</w:t>
            </w:r>
          </w:p>
        </w:tc>
        <w:tc>
          <w:tcPr>
            <w:tcW w:w="1761" w:type="dxa"/>
            <w:vMerge w:val="restart"/>
            <w:noWrap/>
            <w:vAlign w:val="center"/>
          </w:tcPr>
          <w:p>
            <w:pPr>
              <w:widowControl/>
              <w:spacing w:line="240" w:lineRule="exact"/>
              <w:jc w:val="left"/>
              <w:rPr>
                <w:rFonts w:hint="eastAsia"/>
                <w:color w:val="000000"/>
                <w:kern w:val="0"/>
                <w:szCs w:val="21"/>
              </w:rPr>
            </w:pPr>
            <w:r>
              <w:rPr>
                <w:rFonts w:hint="eastAsia"/>
                <w:color w:val="000000"/>
                <w:kern w:val="0"/>
                <w:szCs w:val="21"/>
              </w:rPr>
              <w:t>　</w:t>
            </w:r>
          </w:p>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项目完工总投入274843元</w:t>
            </w:r>
          </w:p>
          <w:p>
            <w:pPr>
              <w:widowControl/>
              <w:spacing w:line="240" w:lineRule="exact"/>
              <w:jc w:val="left"/>
              <w:rPr>
                <w:color w:val="000000"/>
                <w:kern w:val="0"/>
                <w:szCs w:val="21"/>
              </w:rPr>
            </w:pPr>
            <w:r>
              <w:rPr>
                <w:rFonts w:hint="eastAsia"/>
                <w:color w:val="000000"/>
                <w:kern w:val="0"/>
                <w:szCs w:val="21"/>
              </w:rPr>
              <w:t>　</w:t>
            </w: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vMerge w:val="continue"/>
            <w:noWrap w:val="0"/>
            <w:vAlign w:val="center"/>
          </w:tcPr>
          <w:p>
            <w:pPr>
              <w:widowControl/>
              <w:spacing w:line="240" w:lineRule="exact"/>
              <w:jc w:val="left"/>
              <w:rPr>
                <w:color w:val="000000"/>
                <w:kern w:val="0"/>
                <w:szCs w:val="21"/>
              </w:rPr>
            </w:pPr>
          </w:p>
        </w:tc>
        <w:tc>
          <w:tcPr>
            <w:tcW w:w="891" w:type="dxa"/>
            <w:vMerge w:val="continue"/>
            <w:noWrap w:val="0"/>
            <w:vAlign w:val="center"/>
          </w:tcPr>
          <w:p>
            <w:pPr>
              <w:widowControl/>
              <w:spacing w:line="240" w:lineRule="exact"/>
              <w:jc w:val="left"/>
              <w:rPr>
                <w:color w:val="000000"/>
                <w:kern w:val="0"/>
                <w:szCs w:val="21"/>
              </w:rPr>
            </w:pPr>
          </w:p>
        </w:tc>
        <w:tc>
          <w:tcPr>
            <w:tcW w:w="772" w:type="dxa"/>
            <w:vMerge w:val="continue"/>
            <w:tcBorders/>
            <w:noWrap/>
            <w:vAlign w:val="center"/>
          </w:tcPr>
          <w:p>
            <w:pPr>
              <w:widowControl/>
              <w:spacing w:line="240" w:lineRule="exact"/>
              <w:jc w:val="left"/>
              <w:rPr>
                <w:color w:val="000000"/>
                <w:kern w:val="0"/>
                <w:szCs w:val="21"/>
              </w:rPr>
            </w:pPr>
          </w:p>
        </w:tc>
        <w:tc>
          <w:tcPr>
            <w:tcW w:w="1369" w:type="dxa"/>
            <w:vMerge w:val="continue"/>
            <w:tcBorders/>
            <w:noWrap/>
            <w:vAlign w:val="center"/>
          </w:tcPr>
          <w:p>
            <w:pPr>
              <w:widowControl/>
              <w:spacing w:line="240" w:lineRule="exact"/>
              <w:jc w:val="left"/>
              <w:rPr>
                <w:color w:val="000000"/>
                <w:kern w:val="0"/>
                <w:szCs w:val="21"/>
              </w:rPr>
            </w:pPr>
          </w:p>
        </w:tc>
        <w:tc>
          <w:tcPr>
            <w:tcW w:w="1761" w:type="dxa"/>
            <w:vMerge w:val="continue"/>
            <w:tcBorders/>
            <w:noWrap/>
            <w:vAlign w:val="center"/>
          </w:tcPr>
          <w:p>
            <w:pPr>
              <w:widowControl/>
              <w:spacing w:line="240" w:lineRule="exact"/>
              <w:jc w:val="left"/>
              <w:rPr>
                <w:color w:val="000000"/>
                <w:kern w:val="0"/>
                <w:szCs w:val="21"/>
              </w:rPr>
            </w:pP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vMerge w:val="continue"/>
            <w:noWrap w:val="0"/>
            <w:vAlign w:val="center"/>
          </w:tcPr>
          <w:p>
            <w:pPr>
              <w:widowControl/>
              <w:spacing w:line="240" w:lineRule="exact"/>
              <w:jc w:val="left"/>
              <w:rPr>
                <w:color w:val="000000"/>
                <w:kern w:val="0"/>
                <w:szCs w:val="21"/>
              </w:rPr>
            </w:pPr>
          </w:p>
        </w:tc>
        <w:tc>
          <w:tcPr>
            <w:tcW w:w="891" w:type="dxa"/>
            <w:vMerge w:val="continue"/>
            <w:noWrap w:val="0"/>
            <w:vAlign w:val="center"/>
          </w:tcPr>
          <w:p>
            <w:pPr>
              <w:widowControl/>
              <w:spacing w:line="240" w:lineRule="exact"/>
              <w:jc w:val="left"/>
              <w:rPr>
                <w:color w:val="000000"/>
                <w:kern w:val="0"/>
                <w:szCs w:val="21"/>
              </w:rPr>
            </w:pPr>
          </w:p>
        </w:tc>
        <w:tc>
          <w:tcPr>
            <w:tcW w:w="772" w:type="dxa"/>
            <w:vMerge w:val="continue"/>
            <w:tcBorders/>
            <w:noWrap/>
            <w:vAlign w:val="center"/>
          </w:tcPr>
          <w:p>
            <w:pPr>
              <w:widowControl/>
              <w:spacing w:line="240" w:lineRule="exact"/>
              <w:jc w:val="left"/>
              <w:rPr>
                <w:color w:val="000000"/>
                <w:kern w:val="0"/>
                <w:szCs w:val="21"/>
              </w:rPr>
            </w:pPr>
          </w:p>
        </w:tc>
        <w:tc>
          <w:tcPr>
            <w:tcW w:w="1369" w:type="dxa"/>
            <w:vMerge w:val="continue"/>
            <w:tcBorders/>
            <w:noWrap/>
            <w:vAlign w:val="center"/>
          </w:tcPr>
          <w:p>
            <w:pPr>
              <w:widowControl/>
              <w:spacing w:line="240" w:lineRule="exact"/>
              <w:jc w:val="left"/>
              <w:rPr>
                <w:color w:val="000000"/>
                <w:kern w:val="0"/>
                <w:szCs w:val="21"/>
              </w:rPr>
            </w:pPr>
          </w:p>
        </w:tc>
        <w:tc>
          <w:tcPr>
            <w:tcW w:w="1761" w:type="dxa"/>
            <w:vMerge w:val="continue"/>
            <w:tcBorders/>
            <w:noWrap/>
            <w:vAlign w:val="center"/>
          </w:tcPr>
          <w:p>
            <w:pPr>
              <w:widowControl/>
              <w:spacing w:line="240" w:lineRule="exact"/>
              <w:jc w:val="left"/>
              <w:rPr>
                <w:color w:val="000000"/>
                <w:kern w:val="0"/>
                <w:szCs w:val="21"/>
              </w:rPr>
            </w:pP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vMerge w:val="continue"/>
            <w:noWrap w:val="0"/>
            <w:vAlign w:val="center"/>
          </w:tcPr>
          <w:p>
            <w:pPr>
              <w:widowControl/>
              <w:spacing w:line="240" w:lineRule="exact"/>
              <w:jc w:val="left"/>
              <w:rPr>
                <w:color w:val="000000"/>
                <w:kern w:val="0"/>
                <w:szCs w:val="21"/>
              </w:rPr>
            </w:pPr>
          </w:p>
        </w:tc>
        <w:tc>
          <w:tcPr>
            <w:tcW w:w="891"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77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36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76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restart"/>
            <w:noWrap w:val="0"/>
            <w:vAlign w:val="center"/>
          </w:tcPr>
          <w:p>
            <w:pPr>
              <w:spacing w:line="240" w:lineRule="exact"/>
              <w:jc w:val="center"/>
              <w:rPr>
                <w:color w:val="000000"/>
                <w:kern w:val="0"/>
                <w:szCs w:val="21"/>
              </w:rPr>
            </w:pPr>
            <w:r>
              <w:rPr>
                <w:rFonts w:hint="eastAsia"/>
                <w:color w:val="000000"/>
                <w:kern w:val="0"/>
                <w:szCs w:val="21"/>
              </w:rPr>
              <w:t>年度绩效指标</w:t>
            </w:r>
          </w:p>
        </w:tc>
        <w:tc>
          <w:tcPr>
            <w:tcW w:w="1206"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效益</w:t>
            </w:r>
          </w:p>
        </w:tc>
        <w:tc>
          <w:tcPr>
            <w:tcW w:w="891" w:type="dxa"/>
            <w:vMerge w:val="restart"/>
            <w:noWrap/>
            <w:vAlign w:val="center"/>
          </w:tcPr>
          <w:p>
            <w:pPr>
              <w:widowControl/>
              <w:spacing w:line="240" w:lineRule="exact"/>
              <w:jc w:val="center"/>
              <w:rPr>
                <w:color w:val="000000"/>
                <w:kern w:val="0"/>
                <w:szCs w:val="21"/>
              </w:rPr>
            </w:pPr>
            <w:r>
              <w:rPr>
                <w:rFonts w:hint="eastAsia"/>
                <w:color w:val="000000"/>
                <w:kern w:val="0"/>
                <w:szCs w:val="21"/>
              </w:rPr>
              <w:t>经济效益指标</w:t>
            </w:r>
          </w:p>
        </w:tc>
        <w:tc>
          <w:tcPr>
            <w:tcW w:w="772"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36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76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vMerge w:val="continue"/>
            <w:noWrap w:val="0"/>
            <w:vAlign w:val="center"/>
          </w:tcPr>
          <w:p>
            <w:pPr>
              <w:widowControl/>
              <w:spacing w:line="240" w:lineRule="exact"/>
              <w:jc w:val="left"/>
              <w:rPr>
                <w:color w:val="000000"/>
                <w:kern w:val="0"/>
                <w:szCs w:val="21"/>
              </w:rPr>
            </w:pPr>
          </w:p>
        </w:tc>
        <w:tc>
          <w:tcPr>
            <w:tcW w:w="891" w:type="dxa"/>
            <w:vMerge w:val="continue"/>
            <w:noWrap w:val="0"/>
            <w:vAlign w:val="center"/>
          </w:tcPr>
          <w:p>
            <w:pPr>
              <w:widowControl/>
              <w:spacing w:line="240" w:lineRule="exact"/>
              <w:jc w:val="left"/>
              <w:rPr>
                <w:color w:val="000000"/>
                <w:kern w:val="0"/>
                <w:szCs w:val="21"/>
              </w:rPr>
            </w:pPr>
          </w:p>
        </w:tc>
        <w:tc>
          <w:tcPr>
            <w:tcW w:w="772"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36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76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vMerge w:val="continue"/>
            <w:noWrap w:val="0"/>
            <w:vAlign w:val="center"/>
          </w:tcPr>
          <w:p>
            <w:pPr>
              <w:widowControl/>
              <w:spacing w:line="240" w:lineRule="exact"/>
              <w:jc w:val="left"/>
              <w:rPr>
                <w:color w:val="000000"/>
                <w:kern w:val="0"/>
                <w:szCs w:val="21"/>
              </w:rPr>
            </w:pPr>
          </w:p>
        </w:tc>
        <w:tc>
          <w:tcPr>
            <w:tcW w:w="891" w:type="dxa"/>
            <w:vMerge w:val="continue"/>
            <w:noWrap w:val="0"/>
            <w:vAlign w:val="center"/>
          </w:tcPr>
          <w:p>
            <w:pPr>
              <w:widowControl/>
              <w:spacing w:line="240" w:lineRule="exact"/>
              <w:jc w:val="left"/>
              <w:rPr>
                <w:color w:val="000000"/>
                <w:kern w:val="0"/>
                <w:szCs w:val="21"/>
              </w:rPr>
            </w:pPr>
          </w:p>
        </w:tc>
        <w:tc>
          <w:tcPr>
            <w:tcW w:w="772"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36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76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vMerge w:val="continue"/>
            <w:noWrap w:val="0"/>
            <w:vAlign w:val="center"/>
          </w:tcPr>
          <w:p>
            <w:pPr>
              <w:widowControl/>
              <w:spacing w:line="240" w:lineRule="exact"/>
              <w:jc w:val="left"/>
              <w:rPr>
                <w:color w:val="000000"/>
                <w:kern w:val="0"/>
                <w:szCs w:val="21"/>
              </w:rPr>
            </w:pPr>
          </w:p>
        </w:tc>
        <w:tc>
          <w:tcPr>
            <w:tcW w:w="891" w:type="dxa"/>
            <w:vMerge w:val="restart"/>
            <w:noWrap/>
            <w:vAlign w:val="center"/>
          </w:tcPr>
          <w:p>
            <w:pPr>
              <w:widowControl/>
              <w:spacing w:line="240" w:lineRule="exact"/>
              <w:jc w:val="center"/>
              <w:rPr>
                <w:color w:val="000000"/>
                <w:kern w:val="0"/>
                <w:szCs w:val="21"/>
              </w:rPr>
            </w:pPr>
            <w:r>
              <w:rPr>
                <w:rFonts w:hint="eastAsia"/>
                <w:color w:val="000000"/>
                <w:kern w:val="0"/>
                <w:szCs w:val="21"/>
              </w:rPr>
              <w:t>社会效益指标</w:t>
            </w:r>
          </w:p>
        </w:tc>
        <w:tc>
          <w:tcPr>
            <w:tcW w:w="772" w:type="dxa"/>
            <w:vMerge w:val="restart"/>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为辖区居民提供文化教育场所</w:t>
            </w:r>
          </w:p>
        </w:tc>
        <w:tc>
          <w:tcPr>
            <w:tcW w:w="1369" w:type="dxa"/>
            <w:vMerge w:val="restart"/>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≥300平方米</w:t>
            </w:r>
          </w:p>
          <w:p>
            <w:pPr>
              <w:widowControl/>
              <w:spacing w:line="240" w:lineRule="exact"/>
              <w:jc w:val="left"/>
              <w:rPr>
                <w:color w:val="000000"/>
                <w:kern w:val="0"/>
                <w:szCs w:val="21"/>
              </w:rPr>
            </w:pPr>
            <w:r>
              <w:rPr>
                <w:rFonts w:hint="eastAsia"/>
                <w:color w:val="000000"/>
                <w:kern w:val="0"/>
                <w:szCs w:val="21"/>
              </w:rPr>
              <w:t>　</w:t>
            </w:r>
          </w:p>
          <w:p>
            <w:pPr>
              <w:widowControl/>
              <w:spacing w:line="240" w:lineRule="exact"/>
              <w:jc w:val="left"/>
              <w:rPr>
                <w:color w:val="000000"/>
                <w:kern w:val="0"/>
                <w:szCs w:val="21"/>
              </w:rPr>
            </w:pPr>
            <w:r>
              <w:rPr>
                <w:rFonts w:hint="eastAsia"/>
                <w:color w:val="000000"/>
                <w:kern w:val="0"/>
                <w:szCs w:val="21"/>
              </w:rPr>
              <w:t>　</w:t>
            </w:r>
          </w:p>
        </w:tc>
        <w:tc>
          <w:tcPr>
            <w:tcW w:w="1761" w:type="dxa"/>
            <w:vMerge w:val="restart"/>
            <w:noWrap/>
            <w:vAlign w:val="center"/>
          </w:tcPr>
          <w:p>
            <w:pPr>
              <w:widowControl/>
              <w:spacing w:line="240" w:lineRule="exact"/>
              <w:jc w:val="left"/>
              <w:rPr>
                <w:rFonts w:hint="eastAsia"/>
                <w:color w:val="000000"/>
                <w:kern w:val="0"/>
                <w:szCs w:val="21"/>
              </w:rPr>
            </w:pPr>
            <w:r>
              <w:rPr>
                <w:rFonts w:hint="eastAsia"/>
                <w:color w:val="000000"/>
                <w:kern w:val="0"/>
                <w:szCs w:val="21"/>
              </w:rPr>
              <w:t>　</w:t>
            </w:r>
          </w:p>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已达到大于300平方米的文化教育场所</w:t>
            </w:r>
          </w:p>
          <w:p>
            <w:pPr>
              <w:widowControl/>
              <w:spacing w:line="240" w:lineRule="exact"/>
              <w:jc w:val="left"/>
              <w:rPr>
                <w:color w:val="000000"/>
                <w:kern w:val="0"/>
                <w:szCs w:val="21"/>
              </w:rPr>
            </w:pPr>
            <w:r>
              <w:rPr>
                <w:rFonts w:hint="eastAsia"/>
                <w:color w:val="000000"/>
                <w:kern w:val="0"/>
                <w:szCs w:val="21"/>
              </w:rPr>
              <w:t>　</w:t>
            </w: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vMerge w:val="continue"/>
            <w:noWrap w:val="0"/>
            <w:vAlign w:val="center"/>
          </w:tcPr>
          <w:p>
            <w:pPr>
              <w:widowControl/>
              <w:spacing w:line="240" w:lineRule="exact"/>
              <w:jc w:val="left"/>
              <w:rPr>
                <w:color w:val="000000"/>
                <w:kern w:val="0"/>
                <w:szCs w:val="21"/>
              </w:rPr>
            </w:pPr>
          </w:p>
        </w:tc>
        <w:tc>
          <w:tcPr>
            <w:tcW w:w="891" w:type="dxa"/>
            <w:vMerge w:val="continue"/>
            <w:noWrap w:val="0"/>
            <w:vAlign w:val="center"/>
          </w:tcPr>
          <w:p>
            <w:pPr>
              <w:widowControl/>
              <w:spacing w:line="240" w:lineRule="exact"/>
              <w:jc w:val="left"/>
              <w:rPr>
                <w:color w:val="000000"/>
                <w:kern w:val="0"/>
                <w:szCs w:val="21"/>
              </w:rPr>
            </w:pPr>
          </w:p>
        </w:tc>
        <w:tc>
          <w:tcPr>
            <w:tcW w:w="772" w:type="dxa"/>
            <w:vMerge w:val="continue"/>
            <w:tcBorders/>
            <w:noWrap/>
            <w:vAlign w:val="center"/>
          </w:tcPr>
          <w:p>
            <w:pPr>
              <w:widowControl/>
              <w:spacing w:line="240" w:lineRule="exact"/>
              <w:jc w:val="left"/>
              <w:rPr>
                <w:color w:val="000000"/>
                <w:kern w:val="0"/>
                <w:szCs w:val="21"/>
              </w:rPr>
            </w:pPr>
          </w:p>
        </w:tc>
        <w:tc>
          <w:tcPr>
            <w:tcW w:w="1369" w:type="dxa"/>
            <w:vMerge w:val="continue"/>
            <w:tcBorders/>
            <w:noWrap/>
            <w:vAlign w:val="center"/>
          </w:tcPr>
          <w:p>
            <w:pPr>
              <w:widowControl/>
              <w:spacing w:line="240" w:lineRule="exact"/>
              <w:jc w:val="left"/>
              <w:rPr>
                <w:color w:val="000000"/>
                <w:kern w:val="0"/>
                <w:szCs w:val="21"/>
              </w:rPr>
            </w:pPr>
          </w:p>
        </w:tc>
        <w:tc>
          <w:tcPr>
            <w:tcW w:w="1761" w:type="dxa"/>
            <w:vMerge w:val="continue"/>
            <w:tcBorders/>
            <w:noWrap/>
            <w:vAlign w:val="center"/>
          </w:tcPr>
          <w:p>
            <w:pPr>
              <w:widowControl/>
              <w:spacing w:line="240" w:lineRule="exact"/>
              <w:jc w:val="left"/>
              <w:rPr>
                <w:color w:val="000000"/>
                <w:kern w:val="0"/>
                <w:szCs w:val="21"/>
              </w:rPr>
            </w:pP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vMerge w:val="continue"/>
            <w:noWrap w:val="0"/>
            <w:vAlign w:val="center"/>
          </w:tcPr>
          <w:p>
            <w:pPr>
              <w:widowControl/>
              <w:spacing w:line="240" w:lineRule="exact"/>
              <w:jc w:val="left"/>
              <w:rPr>
                <w:color w:val="000000"/>
                <w:kern w:val="0"/>
                <w:szCs w:val="21"/>
              </w:rPr>
            </w:pPr>
          </w:p>
        </w:tc>
        <w:tc>
          <w:tcPr>
            <w:tcW w:w="891" w:type="dxa"/>
            <w:vMerge w:val="continue"/>
            <w:noWrap w:val="0"/>
            <w:vAlign w:val="center"/>
          </w:tcPr>
          <w:p>
            <w:pPr>
              <w:widowControl/>
              <w:spacing w:line="240" w:lineRule="exact"/>
              <w:jc w:val="left"/>
              <w:rPr>
                <w:color w:val="000000"/>
                <w:kern w:val="0"/>
                <w:szCs w:val="21"/>
              </w:rPr>
            </w:pPr>
          </w:p>
        </w:tc>
        <w:tc>
          <w:tcPr>
            <w:tcW w:w="772" w:type="dxa"/>
            <w:vMerge w:val="continue"/>
            <w:tcBorders/>
            <w:noWrap/>
            <w:vAlign w:val="center"/>
          </w:tcPr>
          <w:p>
            <w:pPr>
              <w:widowControl/>
              <w:spacing w:line="240" w:lineRule="exact"/>
              <w:jc w:val="left"/>
              <w:rPr>
                <w:color w:val="000000"/>
                <w:kern w:val="0"/>
                <w:szCs w:val="21"/>
              </w:rPr>
            </w:pPr>
          </w:p>
        </w:tc>
        <w:tc>
          <w:tcPr>
            <w:tcW w:w="1369" w:type="dxa"/>
            <w:vMerge w:val="continue"/>
            <w:tcBorders/>
            <w:noWrap/>
            <w:vAlign w:val="center"/>
          </w:tcPr>
          <w:p>
            <w:pPr>
              <w:widowControl/>
              <w:spacing w:line="240" w:lineRule="exact"/>
              <w:jc w:val="left"/>
              <w:rPr>
                <w:color w:val="000000"/>
                <w:kern w:val="0"/>
                <w:szCs w:val="21"/>
              </w:rPr>
            </w:pPr>
          </w:p>
        </w:tc>
        <w:tc>
          <w:tcPr>
            <w:tcW w:w="1761" w:type="dxa"/>
            <w:vMerge w:val="continue"/>
            <w:tcBorders/>
            <w:noWrap/>
            <w:vAlign w:val="center"/>
          </w:tcPr>
          <w:p>
            <w:pPr>
              <w:widowControl/>
              <w:spacing w:line="240" w:lineRule="exact"/>
              <w:jc w:val="left"/>
              <w:rPr>
                <w:color w:val="000000"/>
                <w:kern w:val="0"/>
                <w:szCs w:val="21"/>
              </w:rPr>
            </w:pP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vMerge w:val="continue"/>
            <w:noWrap w:val="0"/>
            <w:vAlign w:val="center"/>
          </w:tcPr>
          <w:p>
            <w:pPr>
              <w:widowControl/>
              <w:spacing w:line="240" w:lineRule="exact"/>
              <w:jc w:val="left"/>
              <w:rPr>
                <w:color w:val="000000"/>
                <w:kern w:val="0"/>
                <w:szCs w:val="21"/>
              </w:rPr>
            </w:pPr>
          </w:p>
        </w:tc>
        <w:tc>
          <w:tcPr>
            <w:tcW w:w="891" w:type="dxa"/>
            <w:vMerge w:val="restart"/>
            <w:noWrap/>
            <w:vAlign w:val="center"/>
          </w:tcPr>
          <w:p>
            <w:pPr>
              <w:widowControl/>
              <w:spacing w:line="240" w:lineRule="exact"/>
              <w:jc w:val="center"/>
              <w:rPr>
                <w:color w:val="000000"/>
                <w:kern w:val="0"/>
                <w:szCs w:val="21"/>
              </w:rPr>
            </w:pPr>
            <w:r>
              <w:rPr>
                <w:rFonts w:hint="eastAsia"/>
                <w:color w:val="000000"/>
                <w:kern w:val="0"/>
                <w:szCs w:val="21"/>
              </w:rPr>
              <w:t>生态效益指标</w:t>
            </w:r>
          </w:p>
        </w:tc>
        <w:tc>
          <w:tcPr>
            <w:tcW w:w="772"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36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76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vMerge w:val="continue"/>
            <w:noWrap w:val="0"/>
            <w:vAlign w:val="center"/>
          </w:tcPr>
          <w:p>
            <w:pPr>
              <w:widowControl/>
              <w:spacing w:line="240" w:lineRule="exact"/>
              <w:jc w:val="left"/>
              <w:rPr>
                <w:color w:val="000000"/>
                <w:kern w:val="0"/>
                <w:szCs w:val="21"/>
              </w:rPr>
            </w:pPr>
          </w:p>
        </w:tc>
        <w:tc>
          <w:tcPr>
            <w:tcW w:w="891" w:type="dxa"/>
            <w:vMerge w:val="continue"/>
            <w:noWrap w:val="0"/>
            <w:vAlign w:val="center"/>
          </w:tcPr>
          <w:p>
            <w:pPr>
              <w:widowControl/>
              <w:spacing w:line="240" w:lineRule="exact"/>
              <w:jc w:val="left"/>
              <w:rPr>
                <w:color w:val="000000"/>
                <w:kern w:val="0"/>
                <w:szCs w:val="21"/>
              </w:rPr>
            </w:pPr>
          </w:p>
        </w:tc>
        <w:tc>
          <w:tcPr>
            <w:tcW w:w="772"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36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76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vMerge w:val="continue"/>
            <w:noWrap w:val="0"/>
            <w:vAlign w:val="center"/>
          </w:tcPr>
          <w:p>
            <w:pPr>
              <w:widowControl/>
              <w:spacing w:line="240" w:lineRule="exact"/>
              <w:jc w:val="left"/>
              <w:rPr>
                <w:color w:val="000000"/>
                <w:kern w:val="0"/>
                <w:szCs w:val="21"/>
              </w:rPr>
            </w:pPr>
          </w:p>
        </w:tc>
        <w:tc>
          <w:tcPr>
            <w:tcW w:w="891" w:type="dxa"/>
            <w:vMerge w:val="continue"/>
            <w:noWrap w:val="0"/>
            <w:vAlign w:val="center"/>
          </w:tcPr>
          <w:p>
            <w:pPr>
              <w:widowControl/>
              <w:spacing w:line="240" w:lineRule="exact"/>
              <w:jc w:val="left"/>
              <w:rPr>
                <w:color w:val="000000"/>
                <w:kern w:val="0"/>
                <w:szCs w:val="21"/>
              </w:rPr>
            </w:pPr>
          </w:p>
        </w:tc>
        <w:tc>
          <w:tcPr>
            <w:tcW w:w="772"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36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76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vMerge w:val="continue"/>
            <w:noWrap w:val="0"/>
            <w:vAlign w:val="center"/>
          </w:tcPr>
          <w:p>
            <w:pPr>
              <w:widowControl/>
              <w:spacing w:line="240" w:lineRule="exact"/>
              <w:jc w:val="left"/>
              <w:rPr>
                <w:color w:val="000000"/>
                <w:kern w:val="0"/>
                <w:szCs w:val="21"/>
              </w:rPr>
            </w:pPr>
          </w:p>
        </w:tc>
        <w:tc>
          <w:tcPr>
            <w:tcW w:w="891" w:type="dxa"/>
            <w:vMerge w:val="restart"/>
            <w:noWrap/>
            <w:vAlign w:val="center"/>
          </w:tcPr>
          <w:p>
            <w:pPr>
              <w:widowControl/>
              <w:spacing w:line="240" w:lineRule="exact"/>
              <w:jc w:val="center"/>
              <w:rPr>
                <w:color w:val="000000"/>
                <w:kern w:val="0"/>
                <w:szCs w:val="21"/>
              </w:rPr>
            </w:pPr>
            <w:r>
              <w:rPr>
                <w:rFonts w:hint="eastAsia"/>
                <w:color w:val="000000"/>
                <w:kern w:val="0"/>
                <w:szCs w:val="21"/>
              </w:rPr>
              <w:t>可持续影响指标</w:t>
            </w:r>
          </w:p>
        </w:tc>
        <w:tc>
          <w:tcPr>
            <w:tcW w:w="772" w:type="dxa"/>
            <w:vMerge w:val="restart"/>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项目综合使用年限</w:t>
            </w:r>
          </w:p>
        </w:tc>
        <w:tc>
          <w:tcPr>
            <w:tcW w:w="1369" w:type="dxa"/>
            <w:vMerge w:val="restart"/>
            <w:noWrap/>
            <w:vAlign w:val="center"/>
          </w:tcPr>
          <w:p>
            <w:pPr>
              <w:widowControl/>
              <w:spacing w:line="240" w:lineRule="exact"/>
              <w:jc w:val="left"/>
              <w:rPr>
                <w:rFonts w:hint="eastAsia"/>
                <w:color w:val="000000"/>
                <w:kern w:val="0"/>
                <w:szCs w:val="21"/>
              </w:rPr>
            </w:pPr>
            <w:r>
              <w:rPr>
                <w:rFonts w:hint="eastAsia"/>
                <w:color w:val="000000"/>
                <w:kern w:val="0"/>
                <w:szCs w:val="21"/>
              </w:rPr>
              <w:t>　</w:t>
            </w:r>
          </w:p>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≥15年</w:t>
            </w:r>
          </w:p>
          <w:p>
            <w:pPr>
              <w:widowControl/>
              <w:spacing w:line="240" w:lineRule="exact"/>
              <w:jc w:val="left"/>
              <w:rPr>
                <w:color w:val="000000"/>
                <w:kern w:val="0"/>
                <w:szCs w:val="21"/>
              </w:rPr>
            </w:pPr>
            <w:r>
              <w:rPr>
                <w:rFonts w:hint="eastAsia"/>
                <w:color w:val="000000"/>
                <w:kern w:val="0"/>
                <w:szCs w:val="21"/>
              </w:rPr>
              <w:t>　</w:t>
            </w:r>
          </w:p>
        </w:tc>
        <w:tc>
          <w:tcPr>
            <w:tcW w:w="1761" w:type="dxa"/>
            <w:vMerge w:val="restart"/>
            <w:noWrap/>
            <w:vAlign w:val="center"/>
          </w:tcPr>
          <w:p>
            <w:pPr>
              <w:widowControl/>
              <w:spacing w:line="240" w:lineRule="exact"/>
              <w:jc w:val="left"/>
              <w:rPr>
                <w:rFonts w:hint="eastAsia"/>
                <w:color w:val="000000"/>
                <w:kern w:val="0"/>
                <w:szCs w:val="21"/>
              </w:rPr>
            </w:pPr>
            <w:r>
              <w:rPr>
                <w:rFonts w:hint="eastAsia"/>
                <w:color w:val="000000"/>
                <w:kern w:val="0"/>
                <w:szCs w:val="21"/>
              </w:rPr>
              <w:t>　</w:t>
            </w:r>
          </w:p>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预期能达到15年以上使用年限</w:t>
            </w:r>
          </w:p>
          <w:p>
            <w:pPr>
              <w:widowControl/>
              <w:spacing w:line="240" w:lineRule="exact"/>
              <w:jc w:val="left"/>
              <w:rPr>
                <w:color w:val="000000"/>
                <w:kern w:val="0"/>
                <w:szCs w:val="21"/>
              </w:rPr>
            </w:pPr>
            <w:r>
              <w:rPr>
                <w:rFonts w:hint="eastAsia"/>
                <w:color w:val="000000"/>
                <w:kern w:val="0"/>
                <w:szCs w:val="21"/>
              </w:rPr>
              <w:t>　</w:t>
            </w: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vMerge w:val="continue"/>
            <w:noWrap w:val="0"/>
            <w:vAlign w:val="center"/>
          </w:tcPr>
          <w:p>
            <w:pPr>
              <w:widowControl/>
              <w:spacing w:line="240" w:lineRule="exact"/>
              <w:jc w:val="left"/>
              <w:rPr>
                <w:color w:val="000000"/>
                <w:kern w:val="0"/>
                <w:szCs w:val="21"/>
              </w:rPr>
            </w:pPr>
          </w:p>
        </w:tc>
        <w:tc>
          <w:tcPr>
            <w:tcW w:w="891" w:type="dxa"/>
            <w:vMerge w:val="continue"/>
            <w:noWrap w:val="0"/>
            <w:vAlign w:val="center"/>
          </w:tcPr>
          <w:p>
            <w:pPr>
              <w:widowControl/>
              <w:spacing w:line="240" w:lineRule="exact"/>
              <w:jc w:val="left"/>
              <w:rPr>
                <w:color w:val="000000"/>
                <w:kern w:val="0"/>
                <w:szCs w:val="21"/>
              </w:rPr>
            </w:pPr>
          </w:p>
        </w:tc>
        <w:tc>
          <w:tcPr>
            <w:tcW w:w="772" w:type="dxa"/>
            <w:vMerge w:val="continue"/>
            <w:tcBorders/>
            <w:noWrap/>
            <w:vAlign w:val="center"/>
          </w:tcPr>
          <w:p>
            <w:pPr>
              <w:widowControl/>
              <w:spacing w:line="240" w:lineRule="exact"/>
              <w:jc w:val="left"/>
              <w:rPr>
                <w:color w:val="000000"/>
                <w:kern w:val="0"/>
                <w:szCs w:val="21"/>
              </w:rPr>
            </w:pPr>
          </w:p>
        </w:tc>
        <w:tc>
          <w:tcPr>
            <w:tcW w:w="1369" w:type="dxa"/>
            <w:vMerge w:val="continue"/>
            <w:tcBorders/>
            <w:noWrap/>
            <w:vAlign w:val="center"/>
          </w:tcPr>
          <w:p>
            <w:pPr>
              <w:widowControl/>
              <w:spacing w:line="240" w:lineRule="exact"/>
              <w:jc w:val="left"/>
              <w:rPr>
                <w:color w:val="000000"/>
                <w:kern w:val="0"/>
                <w:szCs w:val="21"/>
              </w:rPr>
            </w:pPr>
          </w:p>
        </w:tc>
        <w:tc>
          <w:tcPr>
            <w:tcW w:w="1761" w:type="dxa"/>
            <w:vMerge w:val="continue"/>
            <w:tcBorders/>
            <w:noWrap/>
            <w:vAlign w:val="center"/>
          </w:tcPr>
          <w:p>
            <w:pPr>
              <w:widowControl/>
              <w:spacing w:line="240" w:lineRule="exact"/>
              <w:jc w:val="left"/>
              <w:rPr>
                <w:color w:val="000000"/>
                <w:kern w:val="0"/>
                <w:szCs w:val="21"/>
              </w:rPr>
            </w:pP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vMerge w:val="continue"/>
            <w:noWrap w:val="0"/>
            <w:vAlign w:val="center"/>
          </w:tcPr>
          <w:p>
            <w:pPr>
              <w:widowControl/>
              <w:spacing w:line="240" w:lineRule="exact"/>
              <w:jc w:val="left"/>
              <w:rPr>
                <w:color w:val="000000"/>
                <w:kern w:val="0"/>
                <w:szCs w:val="21"/>
              </w:rPr>
            </w:pPr>
          </w:p>
        </w:tc>
        <w:tc>
          <w:tcPr>
            <w:tcW w:w="891" w:type="dxa"/>
            <w:vMerge w:val="continue"/>
            <w:noWrap w:val="0"/>
            <w:vAlign w:val="center"/>
          </w:tcPr>
          <w:p>
            <w:pPr>
              <w:widowControl/>
              <w:spacing w:line="240" w:lineRule="exact"/>
              <w:jc w:val="left"/>
              <w:rPr>
                <w:color w:val="000000"/>
                <w:kern w:val="0"/>
                <w:szCs w:val="21"/>
              </w:rPr>
            </w:pPr>
          </w:p>
        </w:tc>
        <w:tc>
          <w:tcPr>
            <w:tcW w:w="772" w:type="dxa"/>
            <w:vMerge w:val="continue"/>
            <w:tcBorders/>
            <w:noWrap/>
            <w:vAlign w:val="center"/>
          </w:tcPr>
          <w:p>
            <w:pPr>
              <w:widowControl/>
              <w:spacing w:line="240" w:lineRule="exact"/>
              <w:jc w:val="left"/>
              <w:rPr>
                <w:color w:val="000000"/>
                <w:kern w:val="0"/>
                <w:szCs w:val="21"/>
              </w:rPr>
            </w:pPr>
          </w:p>
        </w:tc>
        <w:tc>
          <w:tcPr>
            <w:tcW w:w="1369" w:type="dxa"/>
            <w:vMerge w:val="continue"/>
            <w:tcBorders/>
            <w:noWrap/>
            <w:vAlign w:val="center"/>
          </w:tcPr>
          <w:p>
            <w:pPr>
              <w:widowControl/>
              <w:spacing w:line="240" w:lineRule="exact"/>
              <w:jc w:val="left"/>
              <w:rPr>
                <w:color w:val="000000"/>
                <w:kern w:val="0"/>
                <w:szCs w:val="21"/>
              </w:rPr>
            </w:pPr>
          </w:p>
        </w:tc>
        <w:tc>
          <w:tcPr>
            <w:tcW w:w="1761" w:type="dxa"/>
            <w:vMerge w:val="continue"/>
            <w:tcBorders/>
            <w:noWrap/>
            <w:vAlign w:val="center"/>
          </w:tcPr>
          <w:p>
            <w:pPr>
              <w:widowControl/>
              <w:spacing w:line="240" w:lineRule="exact"/>
              <w:jc w:val="left"/>
              <w:rPr>
                <w:color w:val="000000"/>
                <w:kern w:val="0"/>
                <w:szCs w:val="21"/>
              </w:rPr>
            </w:pP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vMerge w:val="continue"/>
            <w:noWrap w:val="0"/>
            <w:vAlign w:val="center"/>
          </w:tcPr>
          <w:p>
            <w:pPr>
              <w:widowControl/>
              <w:spacing w:line="240" w:lineRule="exact"/>
              <w:jc w:val="left"/>
              <w:rPr>
                <w:color w:val="000000"/>
                <w:kern w:val="0"/>
                <w:szCs w:val="21"/>
              </w:rPr>
            </w:pPr>
          </w:p>
        </w:tc>
        <w:tc>
          <w:tcPr>
            <w:tcW w:w="891"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77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36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76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vMerge w:val="restart"/>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891" w:type="dxa"/>
            <w:vMerge w:val="restart"/>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772" w:type="dxa"/>
            <w:vMerge w:val="restart"/>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来访居民群众满意度</w:t>
            </w:r>
          </w:p>
        </w:tc>
        <w:tc>
          <w:tcPr>
            <w:tcW w:w="1369" w:type="dxa"/>
            <w:vMerge w:val="restart"/>
            <w:noWrap/>
            <w:vAlign w:val="center"/>
          </w:tcPr>
          <w:p>
            <w:pPr>
              <w:widowControl/>
              <w:spacing w:line="240" w:lineRule="exact"/>
              <w:jc w:val="left"/>
              <w:rPr>
                <w:rFonts w:hint="eastAsia"/>
                <w:color w:val="000000"/>
                <w:kern w:val="0"/>
                <w:szCs w:val="21"/>
              </w:rPr>
            </w:pPr>
            <w:r>
              <w:rPr>
                <w:rFonts w:hint="eastAsia"/>
                <w:color w:val="000000"/>
                <w:kern w:val="0"/>
                <w:szCs w:val="21"/>
              </w:rPr>
              <w:t>　</w:t>
            </w:r>
          </w:p>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≥90%</w:t>
            </w:r>
          </w:p>
          <w:p>
            <w:pPr>
              <w:widowControl/>
              <w:spacing w:line="240" w:lineRule="exact"/>
              <w:jc w:val="left"/>
              <w:rPr>
                <w:color w:val="000000"/>
                <w:kern w:val="0"/>
                <w:szCs w:val="21"/>
              </w:rPr>
            </w:pPr>
            <w:r>
              <w:rPr>
                <w:rFonts w:hint="eastAsia"/>
                <w:color w:val="000000"/>
                <w:kern w:val="0"/>
                <w:szCs w:val="21"/>
              </w:rPr>
              <w:t>　</w:t>
            </w:r>
          </w:p>
        </w:tc>
        <w:tc>
          <w:tcPr>
            <w:tcW w:w="1761" w:type="dxa"/>
            <w:vMerge w:val="restart"/>
            <w:noWrap/>
            <w:vAlign w:val="center"/>
          </w:tcPr>
          <w:p>
            <w:pPr>
              <w:widowControl/>
              <w:spacing w:line="240" w:lineRule="exact"/>
              <w:jc w:val="left"/>
              <w:rPr>
                <w:rFonts w:hint="eastAsia"/>
                <w:color w:val="000000"/>
                <w:kern w:val="0"/>
                <w:szCs w:val="21"/>
              </w:rPr>
            </w:pPr>
            <w:r>
              <w:rPr>
                <w:rFonts w:hint="eastAsia"/>
                <w:color w:val="000000"/>
                <w:kern w:val="0"/>
                <w:szCs w:val="21"/>
              </w:rPr>
              <w:t>　</w:t>
            </w:r>
          </w:p>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街道群众对基地建设和使用情况满意度达到90%以上</w:t>
            </w:r>
          </w:p>
          <w:p>
            <w:pPr>
              <w:widowControl/>
              <w:spacing w:line="240" w:lineRule="exact"/>
              <w:jc w:val="left"/>
              <w:rPr>
                <w:color w:val="000000"/>
                <w:kern w:val="0"/>
                <w:szCs w:val="21"/>
              </w:rPr>
            </w:pPr>
            <w:r>
              <w:rPr>
                <w:rFonts w:hint="eastAsia"/>
                <w:color w:val="000000"/>
                <w:kern w:val="0"/>
                <w:szCs w:val="21"/>
              </w:rPr>
              <w:t>　</w:t>
            </w: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vMerge w:val="continue"/>
            <w:noWrap w:val="0"/>
            <w:vAlign w:val="center"/>
          </w:tcPr>
          <w:p>
            <w:pPr>
              <w:widowControl/>
              <w:spacing w:line="240" w:lineRule="exact"/>
              <w:jc w:val="left"/>
              <w:rPr>
                <w:color w:val="000000"/>
                <w:kern w:val="0"/>
                <w:szCs w:val="21"/>
              </w:rPr>
            </w:pPr>
          </w:p>
        </w:tc>
        <w:tc>
          <w:tcPr>
            <w:tcW w:w="891" w:type="dxa"/>
            <w:vMerge w:val="continue"/>
            <w:noWrap w:val="0"/>
            <w:vAlign w:val="center"/>
          </w:tcPr>
          <w:p>
            <w:pPr>
              <w:widowControl/>
              <w:spacing w:line="240" w:lineRule="exact"/>
              <w:jc w:val="left"/>
              <w:rPr>
                <w:color w:val="000000"/>
                <w:kern w:val="0"/>
                <w:szCs w:val="21"/>
              </w:rPr>
            </w:pPr>
          </w:p>
        </w:tc>
        <w:tc>
          <w:tcPr>
            <w:tcW w:w="772" w:type="dxa"/>
            <w:vMerge w:val="continue"/>
            <w:tcBorders/>
            <w:noWrap/>
            <w:vAlign w:val="center"/>
          </w:tcPr>
          <w:p>
            <w:pPr>
              <w:widowControl/>
              <w:spacing w:line="240" w:lineRule="exact"/>
              <w:jc w:val="left"/>
              <w:rPr>
                <w:color w:val="000000"/>
                <w:kern w:val="0"/>
                <w:szCs w:val="21"/>
              </w:rPr>
            </w:pPr>
          </w:p>
        </w:tc>
        <w:tc>
          <w:tcPr>
            <w:tcW w:w="1369" w:type="dxa"/>
            <w:vMerge w:val="continue"/>
            <w:tcBorders/>
            <w:noWrap/>
            <w:vAlign w:val="center"/>
          </w:tcPr>
          <w:p>
            <w:pPr>
              <w:widowControl/>
              <w:spacing w:line="240" w:lineRule="exact"/>
              <w:jc w:val="left"/>
              <w:rPr>
                <w:color w:val="000000"/>
                <w:kern w:val="0"/>
                <w:szCs w:val="21"/>
              </w:rPr>
            </w:pPr>
          </w:p>
        </w:tc>
        <w:tc>
          <w:tcPr>
            <w:tcW w:w="1761" w:type="dxa"/>
            <w:vMerge w:val="continue"/>
            <w:tcBorders/>
            <w:noWrap/>
            <w:vAlign w:val="center"/>
          </w:tcPr>
          <w:p>
            <w:pPr>
              <w:widowControl/>
              <w:spacing w:line="240" w:lineRule="exact"/>
              <w:jc w:val="left"/>
              <w:rPr>
                <w:color w:val="000000"/>
                <w:kern w:val="0"/>
                <w:szCs w:val="21"/>
              </w:rPr>
            </w:pP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noWrap w:val="0"/>
            <w:vAlign w:val="center"/>
          </w:tcPr>
          <w:p>
            <w:pPr>
              <w:widowControl/>
              <w:spacing w:line="240" w:lineRule="exact"/>
              <w:jc w:val="left"/>
              <w:rPr>
                <w:color w:val="000000"/>
                <w:kern w:val="0"/>
                <w:szCs w:val="21"/>
              </w:rPr>
            </w:pPr>
          </w:p>
        </w:tc>
        <w:tc>
          <w:tcPr>
            <w:tcW w:w="1206" w:type="dxa"/>
            <w:vMerge w:val="continue"/>
            <w:noWrap w:val="0"/>
            <w:vAlign w:val="center"/>
          </w:tcPr>
          <w:p>
            <w:pPr>
              <w:widowControl/>
              <w:spacing w:line="240" w:lineRule="exact"/>
              <w:jc w:val="left"/>
              <w:rPr>
                <w:color w:val="000000"/>
                <w:kern w:val="0"/>
                <w:szCs w:val="21"/>
              </w:rPr>
            </w:pPr>
          </w:p>
        </w:tc>
        <w:tc>
          <w:tcPr>
            <w:tcW w:w="891" w:type="dxa"/>
            <w:vMerge w:val="continue"/>
            <w:noWrap w:val="0"/>
            <w:vAlign w:val="center"/>
          </w:tcPr>
          <w:p>
            <w:pPr>
              <w:widowControl/>
              <w:spacing w:line="240" w:lineRule="exact"/>
              <w:jc w:val="left"/>
              <w:rPr>
                <w:color w:val="000000"/>
                <w:kern w:val="0"/>
                <w:szCs w:val="21"/>
              </w:rPr>
            </w:pPr>
          </w:p>
        </w:tc>
        <w:tc>
          <w:tcPr>
            <w:tcW w:w="772" w:type="dxa"/>
            <w:vMerge w:val="continue"/>
            <w:tcBorders/>
            <w:noWrap/>
            <w:vAlign w:val="center"/>
          </w:tcPr>
          <w:p>
            <w:pPr>
              <w:widowControl/>
              <w:spacing w:line="240" w:lineRule="exact"/>
              <w:jc w:val="left"/>
              <w:rPr>
                <w:color w:val="000000"/>
                <w:kern w:val="0"/>
                <w:szCs w:val="21"/>
              </w:rPr>
            </w:pPr>
          </w:p>
        </w:tc>
        <w:tc>
          <w:tcPr>
            <w:tcW w:w="1369" w:type="dxa"/>
            <w:vMerge w:val="continue"/>
            <w:tcBorders/>
            <w:noWrap/>
            <w:vAlign w:val="center"/>
          </w:tcPr>
          <w:p>
            <w:pPr>
              <w:widowControl/>
              <w:spacing w:line="240" w:lineRule="exact"/>
              <w:jc w:val="left"/>
              <w:rPr>
                <w:color w:val="000000"/>
                <w:kern w:val="0"/>
                <w:szCs w:val="21"/>
              </w:rPr>
            </w:pPr>
          </w:p>
        </w:tc>
        <w:tc>
          <w:tcPr>
            <w:tcW w:w="1761" w:type="dxa"/>
            <w:vMerge w:val="continue"/>
            <w:tcBorders/>
            <w:noWrap/>
            <w:vAlign w:val="center"/>
          </w:tcPr>
          <w:p>
            <w:pPr>
              <w:widowControl/>
              <w:spacing w:line="240" w:lineRule="exact"/>
              <w:jc w:val="left"/>
              <w:rPr>
                <w:color w:val="000000"/>
                <w:kern w:val="0"/>
                <w:szCs w:val="21"/>
              </w:rPr>
            </w:pPr>
          </w:p>
        </w:tc>
        <w:tc>
          <w:tcPr>
            <w:tcW w:w="224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87" w:type="dxa"/>
            <w:vMerge w:val="continue"/>
            <w:tcBorders>
              <w:bottom w:val="single" w:color="auto" w:sz="12" w:space="0"/>
            </w:tcBorders>
            <w:noWrap w:val="0"/>
            <w:vAlign w:val="center"/>
          </w:tcPr>
          <w:p>
            <w:pPr>
              <w:widowControl/>
              <w:spacing w:line="240" w:lineRule="exact"/>
              <w:jc w:val="left"/>
              <w:rPr>
                <w:color w:val="000000"/>
                <w:kern w:val="0"/>
                <w:szCs w:val="21"/>
              </w:rPr>
            </w:pPr>
          </w:p>
        </w:tc>
        <w:tc>
          <w:tcPr>
            <w:tcW w:w="1206" w:type="dxa"/>
            <w:vMerge w:val="continue"/>
            <w:tcBorders>
              <w:bottom w:val="single" w:color="auto" w:sz="12" w:space="0"/>
            </w:tcBorders>
            <w:noWrap w:val="0"/>
            <w:vAlign w:val="center"/>
          </w:tcPr>
          <w:p>
            <w:pPr>
              <w:widowControl/>
              <w:spacing w:line="240" w:lineRule="exact"/>
              <w:jc w:val="left"/>
              <w:rPr>
                <w:color w:val="000000"/>
                <w:kern w:val="0"/>
                <w:szCs w:val="21"/>
              </w:rPr>
            </w:pPr>
          </w:p>
        </w:tc>
        <w:tc>
          <w:tcPr>
            <w:tcW w:w="891"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772"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1369"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1761"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2249"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r>
    </w:tbl>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hint="eastAsia" w:ascii="宋体"/>
          <w:sz w:val="32"/>
          <w:szCs w:val="32"/>
        </w:rPr>
      </w:pPr>
    </w:p>
    <w:p/>
    <w:sectPr>
      <w:pgSz w:w="11906" w:h="16838"/>
      <w:pgMar w:top="2098" w:right="1474" w:bottom="1928"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1371" w:wrap="around" w:vAnchor="text" w:hAnchor="margin" w:xAlign="outside" w:y="9"/>
      <w:jc w:val="center"/>
      <w:rPr>
        <w:rStyle w:val="7"/>
        <w:rFonts w:hint="eastAsia"/>
        <w:sz w:val="28"/>
        <w:szCs w:val="28"/>
      </w:rPr>
    </w:pPr>
    <w:r>
      <w:rPr>
        <w:rStyle w:val="7"/>
        <w:rFonts w:hint="eastAsia"/>
        <w:sz w:val="28"/>
        <w:szCs w:val="28"/>
      </w:rPr>
      <w:t xml:space="preserve">— </w:t>
    </w:r>
    <w:r>
      <w:rPr>
        <w:rStyle w:val="7"/>
        <w:sz w:val="28"/>
        <w:szCs w:val="28"/>
      </w:rPr>
      <w:fldChar w:fldCharType="begin"/>
    </w:r>
    <w:r>
      <w:rPr>
        <w:rStyle w:val="7"/>
        <w:sz w:val="28"/>
        <w:szCs w:val="28"/>
      </w:rPr>
      <w:instrText xml:space="preserve">PAGE  </w:instrText>
    </w:r>
    <w:r>
      <w:rPr>
        <w:rStyle w:val="7"/>
        <w:sz w:val="28"/>
        <w:szCs w:val="28"/>
      </w:rPr>
      <w:fldChar w:fldCharType="separate"/>
    </w:r>
    <w:r>
      <w:rPr>
        <w:rStyle w:val="7"/>
        <w:sz w:val="28"/>
        <w:szCs w:val="28"/>
      </w:rPr>
      <w:t>10</w:t>
    </w:r>
    <w:r>
      <w:rPr>
        <w:rStyle w:val="7"/>
        <w:sz w:val="28"/>
        <w:szCs w:val="28"/>
      </w:rPr>
      <w:fldChar w:fldCharType="end"/>
    </w:r>
    <w:r>
      <w:rPr>
        <w:rStyle w:val="7"/>
        <w:rFonts w:hint="eastAsia"/>
        <w:sz w:val="28"/>
        <w:szCs w:val="28"/>
      </w:rPr>
      <w:t xml:space="preserve"> —</w:t>
    </w:r>
  </w:p>
  <w:p>
    <w:pPr>
      <w:pStyle w:val="4"/>
      <w:ind w:right="360" w:firstLine="360"/>
      <w:jc w:val="center"/>
      <w:rPr>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xNDJlNGYyZWM2NjZjOTkwN2U1ZGFkNmNiYWM4MDgifQ=="/>
  </w:docVars>
  <w:rsids>
    <w:rsidRoot w:val="00000000"/>
    <w:rsid w:val="01E855E3"/>
    <w:rsid w:val="05EF4590"/>
    <w:rsid w:val="1D953B3F"/>
    <w:rsid w:val="2AAE3E06"/>
    <w:rsid w:val="34AE30A3"/>
    <w:rsid w:val="36294D91"/>
    <w:rsid w:val="381778B9"/>
    <w:rsid w:val="388A1D09"/>
    <w:rsid w:val="3A0178A0"/>
    <w:rsid w:val="41202C69"/>
    <w:rsid w:val="49A9170E"/>
    <w:rsid w:val="534A7FE3"/>
    <w:rsid w:val="57ED292F"/>
    <w:rsid w:val="606963A4"/>
    <w:rsid w:val="68AA0EB0"/>
    <w:rsid w:val="693571DC"/>
    <w:rsid w:val="6AB5270E"/>
    <w:rsid w:val="727D3192"/>
    <w:rsid w:val="742B3843"/>
    <w:rsid w:val="79C47069"/>
    <w:rsid w:val="7C6C3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图表目录1"/>
    <w:basedOn w:val="1"/>
    <w:next w:val="1"/>
    <w:uiPriority w:val="0"/>
    <w:pPr>
      <w:ind w:left="200" w:leftChars="200" w:hanging="200" w:hangingChars="200"/>
    </w:pPr>
    <w:rPr>
      <w:rFonts w:ascii="Calibri" w:hAnsi="Calibri"/>
    </w:rPr>
  </w:style>
  <w:style w:type="paragraph" w:styleId="3">
    <w:name w:val="Body Text"/>
    <w:basedOn w:val="1"/>
    <w:next w:val="1"/>
    <w:qFormat/>
    <w:uiPriority w:val="0"/>
    <w:rPr>
      <w:rFonts w:ascii="Times New Roman" w:hAnsi="Times New Roman" w:cs="Times New Roman"/>
      <w:sz w:val="32"/>
      <w:szCs w:val="32"/>
    </w:rPr>
  </w:style>
  <w:style w:type="paragraph" w:styleId="4">
    <w:name w:val="footer"/>
    <w:basedOn w:val="1"/>
    <w:qFormat/>
    <w:uiPriority w:val="0"/>
    <w:pPr>
      <w:tabs>
        <w:tab w:val="center" w:pos="4153"/>
        <w:tab w:val="right" w:pos="8306"/>
      </w:tabs>
      <w:snapToGrid w:val="0"/>
      <w:jc w:val="left"/>
    </w:pPr>
    <w:rPr>
      <w:sz w:val="18"/>
      <w:szCs w:val="18"/>
    </w:rPr>
  </w:style>
  <w:style w:type="character" w:styleId="7">
    <w:name w:val="page number"/>
    <w:qFormat/>
    <w:uiPriority w:val="0"/>
    <w:rPr>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2023-11-13T07:01:00Z</dcterms:created>
  <dc:creator>Administrator</dc:creator>
  <cp:lastModifiedBy>WPS_1506525830</cp:lastModifiedBy>
  <dcterms:modified xsi:type="dcterms:W3CDTF">2023-11-16T02:09:28Z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EB5E2E2629174AD8BA36952FC0C9675B_12</vt:lpwstr>
  </property>
</Properties>
</file>